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9390" w:type="dxa"/>
        <w:tblInd w:w="-142" w:type="dxa"/>
        <w:tblLayout w:type="fixed"/>
        <w:tblLook w:val="01E0" w:firstRow="1" w:lastRow="1" w:firstColumn="1" w:lastColumn="1" w:noHBand="0" w:noVBand="0"/>
      </w:tblPr>
      <w:tblGrid>
        <w:gridCol w:w="5279"/>
        <w:gridCol w:w="236"/>
        <w:gridCol w:w="3875"/>
      </w:tblGrid>
      <w:tr w:rsidR="007C586A" w:rsidRPr="006F1EEC" w14:paraId="27784F2E" w14:textId="77777777" w:rsidTr="00E85684">
        <w:trPr>
          <w:trHeight w:val="1805"/>
        </w:trPr>
        <w:tc>
          <w:tcPr>
            <w:tcW w:w="5279" w:type="dxa"/>
          </w:tcPr>
          <w:p w14:paraId="20B1E567" w14:textId="5EB1C52C" w:rsidR="007C586A" w:rsidRPr="006F1EEC" w:rsidRDefault="00DF3DF1" w:rsidP="0095369A">
            <w:pPr>
              <w:rPr>
                <w:lang w:eastAsia="en-GB"/>
              </w:rPr>
            </w:pPr>
            <w:r w:rsidRPr="006F1EEC">
              <w:rPr>
                <w:noProof/>
                <w:lang w:eastAsia="en-GB"/>
              </w:rPr>
              <w:drawing>
                <wp:inline distT="0" distB="0" distL="0" distR="0" wp14:anchorId="64E611A8" wp14:editId="386F0C85">
                  <wp:extent cx="2538639" cy="1381125"/>
                  <wp:effectExtent l="0" t="0"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544663" cy="1384402"/>
                          </a:xfrm>
                          <a:prstGeom prst="rect">
                            <a:avLst/>
                          </a:prstGeom>
                        </pic:spPr>
                      </pic:pic>
                    </a:graphicData>
                  </a:graphic>
                </wp:inline>
              </w:drawing>
            </w:r>
          </w:p>
        </w:tc>
        <w:tc>
          <w:tcPr>
            <w:tcW w:w="236" w:type="dxa"/>
          </w:tcPr>
          <w:p w14:paraId="63BA772F" w14:textId="77777777" w:rsidR="007C586A" w:rsidRPr="006F1EEC" w:rsidRDefault="007C586A" w:rsidP="0057668B">
            <w:pPr>
              <w:rPr>
                <w:rFonts w:ascii="Arial" w:hAnsi="Arial" w:cs="Arial"/>
                <w:b/>
                <w:color w:val="E36C0A" w:themeColor="accent6" w:themeShade="BF"/>
                <w:sz w:val="20"/>
              </w:rPr>
            </w:pPr>
          </w:p>
        </w:tc>
        <w:tc>
          <w:tcPr>
            <w:tcW w:w="3875" w:type="dxa"/>
            <w:vAlign w:val="center"/>
          </w:tcPr>
          <w:p w14:paraId="76A00D8A" w14:textId="77777777" w:rsidR="007C586A" w:rsidRPr="006F1EEC" w:rsidRDefault="00CD0ACD">
            <w:pPr>
              <w:jc w:val="left"/>
              <w:rPr>
                <w:rFonts w:ascii="Arial" w:hAnsi="Arial" w:cs="Arial"/>
                <w:b/>
                <w:bCs/>
                <w:color w:val="76923C" w:themeColor="accent3" w:themeShade="BF"/>
                <w:sz w:val="32"/>
                <w:szCs w:val="32"/>
              </w:rPr>
            </w:pPr>
            <w:r w:rsidRPr="006F1EEC">
              <w:rPr>
                <w:rFonts w:ascii="Arial" w:hAnsi="Arial" w:cs="Arial"/>
                <w:b/>
                <w:bCs/>
                <w:color w:val="76923C" w:themeColor="accent3" w:themeShade="BF"/>
                <w:sz w:val="32"/>
                <w:szCs w:val="32"/>
              </w:rPr>
              <w:t xml:space="preserve"> </w:t>
            </w:r>
          </w:p>
          <w:p w14:paraId="037B2CF4" w14:textId="38C848DD" w:rsidR="00CD0ACD" w:rsidRPr="006F1EEC" w:rsidRDefault="00CD0ACD" w:rsidP="009B61F0">
            <w:pPr>
              <w:jc w:val="left"/>
              <w:rPr>
                <w:rFonts w:ascii="Arial" w:hAnsi="Arial" w:cs="Arial"/>
                <w:b/>
                <w:color w:val="76923C" w:themeColor="accent3" w:themeShade="BF"/>
                <w:sz w:val="32"/>
                <w:szCs w:val="32"/>
              </w:rPr>
            </w:pPr>
          </w:p>
        </w:tc>
      </w:tr>
      <w:tr w:rsidR="009B61F0" w:rsidRPr="006F1EEC" w14:paraId="158A8A39" w14:textId="77777777" w:rsidTr="00274710">
        <w:trPr>
          <w:trHeight w:val="74"/>
        </w:trPr>
        <w:tc>
          <w:tcPr>
            <w:tcW w:w="5279" w:type="dxa"/>
          </w:tcPr>
          <w:p w14:paraId="6542E4F1" w14:textId="09BBE5FC" w:rsidR="007C586A" w:rsidRPr="006F1EEC" w:rsidRDefault="007C586A" w:rsidP="007C586A">
            <w:pPr>
              <w:jc w:val="right"/>
              <w:rPr>
                <w:rFonts w:ascii="Arial" w:hAnsi="Arial" w:cs="Arial"/>
                <w:b/>
                <w:szCs w:val="24"/>
              </w:rPr>
            </w:pPr>
          </w:p>
        </w:tc>
        <w:tc>
          <w:tcPr>
            <w:tcW w:w="236" w:type="dxa"/>
          </w:tcPr>
          <w:p w14:paraId="5255D25B" w14:textId="77777777" w:rsidR="009B61F0" w:rsidRPr="006F1EEC" w:rsidRDefault="009B61F0" w:rsidP="0057668B">
            <w:pPr>
              <w:rPr>
                <w:rFonts w:ascii="Arial" w:hAnsi="Arial" w:cs="Arial"/>
                <w:b/>
                <w:color w:val="E36C0A" w:themeColor="accent6" w:themeShade="BF"/>
                <w:sz w:val="20"/>
              </w:rPr>
            </w:pPr>
          </w:p>
        </w:tc>
        <w:tc>
          <w:tcPr>
            <w:tcW w:w="3875" w:type="dxa"/>
            <w:vAlign w:val="center"/>
          </w:tcPr>
          <w:p w14:paraId="4173E0F9" w14:textId="77777777" w:rsidR="009B61F0" w:rsidRPr="006F1EEC" w:rsidRDefault="009B61F0" w:rsidP="009B61F0">
            <w:pPr>
              <w:jc w:val="left"/>
              <w:rPr>
                <w:rFonts w:ascii="Arial" w:hAnsi="Arial" w:cs="Arial"/>
                <w:b/>
                <w:color w:val="E36C0A" w:themeColor="accent6" w:themeShade="BF"/>
                <w:sz w:val="32"/>
                <w:szCs w:val="32"/>
              </w:rPr>
            </w:pPr>
          </w:p>
        </w:tc>
      </w:tr>
      <w:tr w:rsidR="009B61F0" w:rsidRPr="006F1EEC" w14:paraId="5FC7C45A" w14:textId="77777777" w:rsidTr="006F7C41">
        <w:trPr>
          <w:trHeight w:val="1908"/>
        </w:trPr>
        <w:tc>
          <w:tcPr>
            <w:tcW w:w="5279" w:type="dxa"/>
            <w:vAlign w:val="center"/>
          </w:tcPr>
          <w:p w14:paraId="7EE57768" w14:textId="77777777" w:rsidR="001A66DC" w:rsidRPr="006F1EEC" w:rsidRDefault="001A66DC" w:rsidP="007C586A">
            <w:pPr>
              <w:jc w:val="left"/>
              <w:rPr>
                <w:rFonts w:asciiTheme="minorHAnsi" w:hAnsiTheme="minorHAnsi" w:cs="Arial"/>
                <w:b/>
                <w:sz w:val="36"/>
                <w:szCs w:val="36"/>
              </w:rPr>
            </w:pPr>
          </w:p>
          <w:p w14:paraId="4422D4A8" w14:textId="77777777" w:rsidR="009834BC" w:rsidRPr="006F1EEC" w:rsidRDefault="009834BC" w:rsidP="007C586A">
            <w:pPr>
              <w:jc w:val="left"/>
              <w:rPr>
                <w:rFonts w:asciiTheme="minorHAnsi" w:hAnsiTheme="minorHAnsi" w:cs="Arial"/>
                <w:b/>
                <w:sz w:val="36"/>
                <w:szCs w:val="36"/>
              </w:rPr>
            </w:pPr>
          </w:p>
          <w:p w14:paraId="0744FEE3" w14:textId="77777777" w:rsidR="009834BC" w:rsidRPr="006F1EEC" w:rsidRDefault="009834BC" w:rsidP="007C586A">
            <w:pPr>
              <w:jc w:val="left"/>
              <w:rPr>
                <w:rFonts w:asciiTheme="minorHAnsi" w:hAnsiTheme="minorHAnsi" w:cs="Arial"/>
                <w:b/>
                <w:sz w:val="36"/>
                <w:szCs w:val="36"/>
              </w:rPr>
            </w:pPr>
          </w:p>
          <w:p w14:paraId="7CF2F35F" w14:textId="77777777" w:rsidR="009834BC" w:rsidRPr="006F1EEC" w:rsidRDefault="009834BC" w:rsidP="007C586A">
            <w:pPr>
              <w:jc w:val="left"/>
              <w:rPr>
                <w:rFonts w:asciiTheme="minorHAnsi" w:hAnsiTheme="minorHAnsi" w:cs="Arial"/>
                <w:b/>
                <w:sz w:val="36"/>
                <w:szCs w:val="36"/>
              </w:rPr>
            </w:pPr>
          </w:p>
          <w:p w14:paraId="0F6F8A76" w14:textId="77777777" w:rsidR="007C586A" w:rsidRPr="006F1EEC" w:rsidRDefault="007C586A" w:rsidP="007C586A">
            <w:pPr>
              <w:jc w:val="left"/>
              <w:rPr>
                <w:rFonts w:asciiTheme="minorHAnsi" w:hAnsiTheme="minorHAnsi" w:cs="Arial"/>
                <w:b/>
                <w:sz w:val="36"/>
                <w:szCs w:val="36"/>
              </w:rPr>
            </w:pPr>
            <w:r w:rsidRPr="006F1EEC">
              <w:rPr>
                <w:rFonts w:asciiTheme="minorHAnsi" w:hAnsiTheme="minorHAnsi" w:cs="Arial"/>
                <w:b/>
                <w:sz w:val="36"/>
                <w:szCs w:val="36"/>
              </w:rPr>
              <w:t>Deliverable</w:t>
            </w:r>
            <w:r w:rsidR="002C09C5" w:rsidRPr="006F1EEC">
              <w:rPr>
                <w:rFonts w:asciiTheme="minorHAnsi" w:hAnsiTheme="minorHAnsi" w:cs="Arial"/>
                <w:b/>
                <w:sz w:val="36"/>
                <w:szCs w:val="36"/>
              </w:rPr>
              <w:t xml:space="preserve"> </w:t>
            </w:r>
          </w:p>
          <w:p w14:paraId="451F8997" w14:textId="77777777" w:rsidR="007B2295" w:rsidRPr="006F1EEC" w:rsidRDefault="007B2295" w:rsidP="007C586A">
            <w:pPr>
              <w:jc w:val="left"/>
              <w:rPr>
                <w:rFonts w:asciiTheme="minorHAnsi" w:hAnsiTheme="minorHAnsi" w:cs="Arial"/>
                <w:b/>
                <w:szCs w:val="24"/>
              </w:rPr>
            </w:pPr>
          </w:p>
          <w:p w14:paraId="7D316250" w14:textId="36B41A65" w:rsidR="009B61F0" w:rsidRPr="006F1EEC" w:rsidRDefault="006F7C41" w:rsidP="00790DED">
            <w:pPr>
              <w:jc w:val="left"/>
              <w:rPr>
                <w:lang w:eastAsia="nl-NL"/>
              </w:rPr>
            </w:pPr>
            <w:r w:rsidRPr="006F1EEC">
              <w:rPr>
                <w:rFonts w:asciiTheme="minorHAnsi" w:hAnsiTheme="minorHAnsi" w:cs="Arial"/>
                <w:b/>
                <w:color w:val="76923C" w:themeColor="accent3" w:themeShade="BF"/>
                <w:sz w:val="36"/>
                <w:szCs w:val="36"/>
              </w:rPr>
              <w:t xml:space="preserve">Scope – </w:t>
            </w:r>
            <w:r w:rsidR="008C457A">
              <w:rPr>
                <w:rFonts w:asciiTheme="minorHAnsi" w:hAnsiTheme="minorHAnsi" w:cs="Arial"/>
                <w:b/>
                <w:color w:val="76923C" w:themeColor="accent3" w:themeShade="BF"/>
                <w:sz w:val="36"/>
                <w:szCs w:val="36"/>
              </w:rPr>
              <w:t>T</w:t>
            </w:r>
            <w:r w:rsidRPr="006F1EEC">
              <w:rPr>
                <w:rFonts w:asciiTheme="minorHAnsi" w:hAnsiTheme="minorHAnsi" w:cs="Arial"/>
                <w:b/>
                <w:color w:val="76923C" w:themeColor="accent3" w:themeShade="BF"/>
                <w:sz w:val="36"/>
                <w:szCs w:val="36"/>
              </w:rPr>
              <w:t xml:space="preserve">erms and definitions – </w:t>
            </w:r>
            <w:r w:rsidR="008C457A">
              <w:rPr>
                <w:rFonts w:asciiTheme="minorHAnsi" w:hAnsiTheme="minorHAnsi" w:cs="Arial"/>
                <w:b/>
                <w:color w:val="76923C" w:themeColor="accent3" w:themeShade="BF"/>
                <w:sz w:val="36"/>
                <w:szCs w:val="36"/>
              </w:rPr>
              <w:t>L</w:t>
            </w:r>
            <w:r w:rsidRPr="006F1EEC">
              <w:rPr>
                <w:rFonts w:asciiTheme="minorHAnsi" w:hAnsiTheme="minorHAnsi" w:cs="Arial"/>
                <w:b/>
                <w:color w:val="76923C" w:themeColor="accent3" w:themeShade="BF"/>
                <w:sz w:val="36"/>
                <w:szCs w:val="36"/>
              </w:rPr>
              <w:t xml:space="preserve">iterature </w:t>
            </w:r>
            <w:r w:rsidR="008C457A">
              <w:rPr>
                <w:rFonts w:asciiTheme="minorHAnsi" w:hAnsiTheme="minorHAnsi" w:cs="Arial"/>
                <w:b/>
                <w:color w:val="76923C" w:themeColor="accent3" w:themeShade="BF"/>
                <w:sz w:val="36"/>
                <w:szCs w:val="36"/>
              </w:rPr>
              <w:t>review</w:t>
            </w:r>
            <w:r w:rsidRPr="006F1EEC">
              <w:rPr>
                <w:rFonts w:asciiTheme="minorHAnsi" w:hAnsiTheme="minorHAnsi" w:cs="Arial"/>
                <w:b/>
                <w:color w:val="76923C" w:themeColor="accent3" w:themeShade="BF"/>
                <w:sz w:val="36"/>
                <w:szCs w:val="36"/>
              </w:rPr>
              <w:t xml:space="preserve"> on pathways – </w:t>
            </w:r>
            <w:r w:rsidR="008C457A">
              <w:rPr>
                <w:rFonts w:asciiTheme="minorHAnsi" w:hAnsiTheme="minorHAnsi" w:cs="Arial"/>
                <w:b/>
                <w:color w:val="76923C" w:themeColor="accent3" w:themeShade="BF"/>
                <w:sz w:val="36"/>
                <w:szCs w:val="36"/>
              </w:rPr>
              <w:t>P</w:t>
            </w:r>
            <w:r w:rsidRPr="006F1EEC">
              <w:rPr>
                <w:rFonts w:asciiTheme="minorHAnsi" w:hAnsiTheme="minorHAnsi" w:cs="Arial"/>
                <w:b/>
                <w:color w:val="76923C" w:themeColor="accent3" w:themeShade="BF"/>
                <w:sz w:val="36"/>
                <w:szCs w:val="36"/>
              </w:rPr>
              <w:t>ilot areas</w:t>
            </w:r>
            <w:r w:rsidR="00790DED">
              <w:rPr>
                <w:rFonts w:asciiTheme="minorHAnsi" w:hAnsiTheme="minorHAnsi" w:cs="Arial"/>
                <w:b/>
                <w:color w:val="76923C" w:themeColor="accent3" w:themeShade="BF"/>
                <w:sz w:val="36"/>
                <w:szCs w:val="36"/>
              </w:rPr>
              <w:t xml:space="preserve"> and data collection plans</w:t>
            </w:r>
          </w:p>
        </w:tc>
        <w:tc>
          <w:tcPr>
            <w:tcW w:w="236" w:type="dxa"/>
          </w:tcPr>
          <w:p w14:paraId="6A957F83" w14:textId="77777777" w:rsidR="009B61F0" w:rsidRPr="006F1EEC" w:rsidRDefault="009B61F0" w:rsidP="0057668B">
            <w:pPr>
              <w:spacing w:after="200"/>
              <w:rPr>
                <w:rFonts w:ascii="Arial" w:hAnsi="Arial" w:cs="Arial"/>
                <w:sz w:val="20"/>
              </w:rPr>
            </w:pPr>
          </w:p>
        </w:tc>
        <w:tc>
          <w:tcPr>
            <w:tcW w:w="3875" w:type="dxa"/>
            <w:vAlign w:val="center"/>
          </w:tcPr>
          <w:p w14:paraId="34739B8C" w14:textId="74C6111B" w:rsidR="00F6147E" w:rsidRPr="006F1EEC" w:rsidRDefault="009B61F0" w:rsidP="006F7C41">
            <w:pPr>
              <w:spacing w:after="200"/>
              <w:jc w:val="left"/>
              <w:rPr>
                <w:rFonts w:ascii="Arial" w:hAnsi="Arial" w:cs="Arial"/>
                <w:b/>
                <w:bCs/>
              </w:rPr>
            </w:pPr>
            <w:r w:rsidRPr="006F1EEC">
              <w:rPr>
                <w:rFonts w:ascii="Arial" w:hAnsi="Arial" w:cs="Arial"/>
                <w:sz w:val="22"/>
                <w:szCs w:val="22"/>
              </w:rPr>
              <w:t>Authors and affiliation:</w:t>
            </w:r>
            <w:r w:rsidR="001A66DC" w:rsidRPr="006F1EEC">
              <w:rPr>
                <w:rFonts w:ascii="Arial" w:hAnsi="Arial" w:cs="Arial"/>
                <w:b/>
                <w:sz w:val="22"/>
                <w:szCs w:val="22"/>
              </w:rPr>
              <w:br/>
            </w:r>
            <w:r w:rsidR="006F7C41" w:rsidRPr="006F1EEC">
              <w:rPr>
                <w:rFonts w:ascii="Arial" w:hAnsi="Arial" w:cs="Arial"/>
                <w:b/>
                <w:bCs/>
              </w:rPr>
              <w:t xml:space="preserve">Willem Zaadnoordijk (TNO-GSN), Ágnes Szalkai (MBFSZ), Koen Beerten (SCK●CEN), Dan Mallin Martin (BGS), </w:t>
            </w:r>
            <w:r w:rsidR="00945FC2" w:rsidRPr="006F1EEC">
              <w:rPr>
                <w:rFonts w:ascii="Arial" w:hAnsi="Arial" w:cs="Arial"/>
                <w:b/>
                <w:bCs/>
              </w:rPr>
              <w:t>Rob Ward (BGS</w:t>
            </w:r>
            <w:r w:rsidR="004C32FC">
              <w:rPr>
                <w:rFonts w:ascii="Arial" w:hAnsi="Arial" w:cs="Arial"/>
                <w:b/>
                <w:bCs/>
              </w:rPr>
              <w:t>)</w:t>
            </w:r>
            <w:r w:rsidR="00945FC2" w:rsidRPr="006F1EEC">
              <w:rPr>
                <w:rFonts w:ascii="Arial" w:hAnsi="Arial" w:cs="Arial"/>
                <w:b/>
                <w:bCs/>
              </w:rPr>
              <w:t xml:space="preserve">, M. Bowes (BGS), A. Newell (BGS), P. Smedley (BGS), Hans Peter Broers (TNO-GSN), </w:t>
            </w:r>
            <w:r w:rsidR="004D3F82" w:rsidRPr="006F1EEC">
              <w:rPr>
                <w:rFonts w:ascii="Arial" w:hAnsi="Arial" w:cs="Arial"/>
                <w:b/>
                <w:bCs/>
              </w:rPr>
              <w:t xml:space="preserve">Cis Slenter </w:t>
            </w:r>
            <w:r w:rsidR="00360ACA" w:rsidRPr="006F1EEC">
              <w:rPr>
                <w:rFonts w:ascii="Arial" w:hAnsi="Arial" w:cs="Arial"/>
                <w:b/>
                <w:bCs/>
              </w:rPr>
              <w:t xml:space="preserve"> (</w:t>
            </w:r>
            <w:r w:rsidR="00F6147E" w:rsidRPr="006F1EEC">
              <w:rPr>
                <w:rFonts w:ascii="Arial" w:hAnsi="Arial" w:cs="Arial"/>
                <w:b/>
                <w:bCs/>
              </w:rPr>
              <w:t>VMM</w:t>
            </w:r>
            <w:r w:rsidR="00360ACA" w:rsidRPr="006F1EEC">
              <w:rPr>
                <w:rFonts w:ascii="Arial" w:hAnsi="Arial" w:cs="Arial"/>
                <w:b/>
                <w:bCs/>
              </w:rPr>
              <w:t>)</w:t>
            </w:r>
            <w:r w:rsidR="00F6147E" w:rsidRPr="006F1EEC">
              <w:rPr>
                <w:rFonts w:ascii="Arial" w:hAnsi="Arial" w:cs="Arial"/>
                <w:b/>
                <w:bCs/>
              </w:rPr>
              <w:t>, Sian Loveless (BGS)</w:t>
            </w:r>
          </w:p>
          <w:p w14:paraId="45C31382" w14:textId="623C1636" w:rsidR="00360ACA" w:rsidRPr="006F1EEC" w:rsidRDefault="006F7C41" w:rsidP="00360ACA">
            <w:pPr>
              <w:spacing w:after="200"/>
              <w:jc w:val="left"/>
              <w:rPr>
                <w:rFonts w:ascii="Arial" w:hAnsi="Arial" w:cs="Arial"/>
                <w:b/>
                <w:szCs w:val="22"/>
              </w:rPr>
            </w:pPr>
            <w:r w:rsidRPr="006F1EEC">
              <w:rPr>
                <w:rFonts w:ascii="Arial" w:hAnsi="Arial" w:cs="Arial"/>
                <w:b/>
                <w:szCs w:val="22"/>
              </w:rPr>
              <w:t>Technical Report 1, WP 3</w:t>
            </w:r>
            <w:r w:rsidR="00360ACA" w:rsidRPr="006F1EEC">
              <w:rPr>
                <w:rFonts w:ascii="Arial" w:hAnsi="Arial" w:cs="Arial"/>
                <w:b/>
                <w:szCs w:val="22"/>
              </w:rPr>
              <w:t xml:space="preserve"> </w:t>
            </w:r>
          </w:p>
          <w:p w14:paraId="188625AB" w14:textId="0656CDCB" w:rsidR="009B61F0" w:rsidRPr="006F1EEC" w:rsidRDefault="009B61F0" w:rsidP="00891553">
            <w:pPr>
              <w:jc w:val="left"/>
              <w:rPr>
                <w:rFonts w:ascii="Arial" w:hAnsi="Arial" w:cs="Arial"/>
                <w:b/>
                <w:sz w:val="22"/>
                <w:szCs w:val="22"/>
              </w:rPr>
            </w:pPr>
            <w:r w:rsidRPr="006F1EEC">
              <w:rPr>
                <w:rFonts w:ascii="Arial" w:hAnsi="Arial" w:cs="Arial"/>
                <w:sz w:val="22"/>
                <w:szCs w:val="22"/>
              </w:rPr>
              <w:t>E-mail of lead author:</w:t>
            </w:r>
            <w:r w:rsidRPr="006F1EEC">
              <w:rPr>
                <w:rFonts w:ascii="Arial" w:hAnsi="Arial" w:cs="Arial"/>
                <w:sz w:val="22"/>
                <w:szCs w:val="22"/>
              </w:rPr>
              <w:br/>
            </w:r>
            <w:r w:rsidR="006F7C41" w:rsidRPr="006F1EEC">
              <w:rPr>
                <w:rFonts w:ascii="Arial" w:hAnsi="Arial" w:cs="Arial"/>
                <w:b/>
                <w:sz w:val="22"/>
                <w:szCs w:val="22"/>
              </w:rPr>
              <w:t>willem_jan.zaadnoordijk</w:t>
            </w:r>
            <w:r w:rsidR="009876E0" w:rsidRPr="006F1EEC">
              <w:rPr>
                <w:rFonts w:ascii="Arial" w:hAnsi="Arial" w:cs="Arial"/>
                <w:b/>
                <w:sz w:val="22"/>
                <w:szCs w:val="22"/>
              </w:rPr>
              <w:t>@</w:t>
            </w:r>
            <w:r w:rsidR="006F7C41" w:rsidRPr="006F1EEC">
              <w:rPr>
                <w:rFonts w:ascii="Arial" w:hAnsi="Arial" w:cs="Arial"/>
                <w:b/>
                <w:sz w:val="22"/>
                <w:szCs w:val="22"/>
              </w:rPr>
              <w:t>tno.nl</w:t>
            </w:r>
          </w:p>
          <w:p w14:paraId="6D5FD36E" w14:textId="77777777" w:rsidR="009B61F0" w:rsidRPr="006F1EEC" w:rsidRDefault="009B61F0" w:rsidP="0057668B">
            <w:pPr>
              <w:rPr>
                <w:rFonts w:ascii="Arial" w:hAnsi="Arial" w:cs="Arial"/>
                <w:b/>
                <w:sz w:val="22"/>
                <w:szCs w:val="22"/>
              </w:rPr>
            </w:pPr>
          </w:p>
          <w:p w14:paraId="103F19A7" w14:textId="44580962" w:rsidR="009B61F0" w:rsidRPr="006F1EEC" w:rsidRDefault="009B61F0" w:rsidP="00560C82">
            <w:pPr>
              <w:rPr>
                <w:rFonts w:ascii="Arial" w:hAnsi="Arial" w:cs="Arial"/>
                <w:b/>
                <w:bCs/>
                <w:color w:val="E36C0A" w:themeColor="accent6" w:themeShade="BF"/>
                <w:sz w:val="32"/>
                <w:szCs w:val="32"/>
              </w:rPr>
            </w:pPr>
            <w:r w:rsidRPr="006F1EEC">
              <w:rPr>
                <w:rFonts w:ascii="Arial" w:hAnsi="Arial" w:cs="Arial"/>
                <w:sz w:val="22"/>
                <w:szCs w:val="22"/>
              </w:rPr>
              <w:t xml:space="preserve">Version: </w:t>
            </w:r>
            <w:r w:rsidR="00560C82">
              <w:rPr>
                <w:rFonts w:ascii="Arial" w:hAnsi="Arial" w:cs="Arial"/>
                <w:sz w:val="22"/>
                <w:szCs w:val="22"/>
              </w:rPr>
              <w:t>28-06-2019</w:t>
            </w:r>
            <w:r w:rsidR="001A66DC" w:rsidRPr="006F1EEC">
              <w:rPr>
                <w:rFonts w:ascii="Arial" w:hAnsi="Arial" w:cs="Arial"/>
                <w:sz w:val="22"/>
                <w:szCs w:val="22"/>
              </w:rPr>
              <w:t xml:space="preserve"> </w:t>
            </w:r>
          </w:p>
        </w:tc>
      </w:tr>
      <w:tr w:rsidR="009B61F0" w:rsidRPr="006F1EEC" w14:paraId="02546968" w14:textId="77777777" w:rsidTr="00772F42">
        <w:trPr>
          <w:trHeight w:val="3052"/>
        </w:trPr>
        <w:tc>
          <w:tcPr>
            <w:tcW w:w="5279" w:type="dxa"/>
            <w:vAlign w:val="center"/>
          </w:tcPr>
          <w:tbl>
            <w:tblPr>
              <w:tblStyle w:val="Tabel-Gitter"/>
              <w:tblW w:w="4849" w:type="dxa"/>
              <w:tblLayout w:type="fixed"/>
              <w:tblLook w:val="04A0" w:firstRow="1" w:lastRow="0" w:firstColumn="1" w:lastColumn="0" w:noHBand="0" w:noVBand="1"/>
            </w:tblPr>
            <w:tblGrid>
              <w:gridCol w:w="2439"/>
              <w:gridCol w:w="1276"/>
              <w:gridCol w:w="1134"/>
            </w:tblGrid>
            <w:tr w:rsidR="00ED64EA" w:rsidRPr="006F1EEC" w14:paraId="47FE7488" w14:textId="77777777" w:rsidTr="5079A2BF">
              <w:trPr>
                <w:trHeight w:val="254"/>
              </w:trPr>
              <w:tc>
                <w:tcPr>
                  <w:tcW w:w="2439" w:type="dxa"/>
                </w:tcPr>
                <w:p w14:paraId="36282D39" w14:textId="4C10046B" w:rsidR="00ED64EA" w:rsidRPr="006F1EEC" w:rsidRDefault="00ED64EA" w:rsidP="00B25CFB">
                  <w:pPr>
                    <w:jc w:val="center"/>
                    <w:rPr>
                      <w:rFonts w:ascii="Arial" w:hAnsi="Arial" w:cs="Arial"/>
                      <w:b/>
                      <w:sz w:val="20"/>
                      <w:lang w:eastAsia="nl-NL"/>
                    </w:rPr>
                  </w:pPr>
                  <w:r w:rsidRPr="006F1EEC">
                    <w:rPr>
                      <w:rFonts w:ascii="Arial" w:hAnsi="Arial" w:cs="Arial"/>
                      <w:b/>
                      <w:sz w:val="20"/>
                      <w:lang w:eastAsia="nl-NL"/>
                    </w:rPr>
                    <w:t>Change</w:t>
                  </w:r>
                </w:p>
              </w:tc>
              <w:tc>
                <w:tcPr>
                  <w:tcW w:w="1276" w:type="dxa"/>
                </w:tcPr>
                <w:p w14:paraId="3E5BA7D1" w14:textId="0739B0DA" w:rsidR="00ED64EA" w:rsidRPr="006F1EEC" w:rsidRDefault="00ED64EA" w:rsidP="00B25CFB">
                  <w:pPr>
                    <w:jc w:val="center"/>
                    <w:rPr>
                      <w:rFonts w:ascii="Arial" w:hAnsi="Arial" w:cs="Arial"/>
                      <w:b/>
                      <w:sz w:val="20"/>
                      <w:lang w:eastAsia="nl-NL"/>
                    </w:rPr>
                  </w:pPr>
                  <w:r w:rsidRPr="006F1EEC">
                    <w:rPr>
                      <w:rFonts w:ascii="Arial" w:hAnsi="Arial" w:cs="Arial"/>
                      <w:b/>
                      <w:sz w:val="20"/>
                      <w:lang w:eastAsia="nl-NL"/>
                    </w:rPr>
                    <w:t>Date</w:t>
                  </w:r>
                </w:p>
              </w:tc>
              <w:tc>
                <w:tcPr>
                  <w:tcW w:w="1134" w:type="dxa"/>
                </w:tcPr>
                <w:p w14:paraId="427CC781" w14:textId="29E98DE5" w:rsidR="00ED64EA" w:rsidRPr="006F1EEC" w:rsidRDefault="00ED64EA" w:rsidP="00B25CFB">
                  <w:pPr>
                    <w:jc w:val="center"/>
                    <w:rPr>
                      <w:rFonts w:ascii="Arial" w:hAnsi="Arial" w:cs="Arial"/>
                      <w:b/>
                      <w:sz w:val="20"/>
                      <w:lang w:eastAsia="nl-NL"/>
                    </w:rPr>
                  </w:pPr>
                  <w:r w:rsidRPr="006F1EEC">
                    <w:rPr>
                      <w:rFonts w:ascii="Arial" w:hAnsi="Arial" w:cs="Arial"/>
                      <w:b/>
                      <w:sz w:val="20"/>
                      <w:lang w:eastAsia="nl-NL"/>
                    </w:rPr>
                    <w:t>Version</w:t>
                  </w:r>
                </w:p>
              </w:tc>
            </w:tr>
            <w:tr w:rsidR="00ED64EA" w:rsidRPr="006F1EEC" w14:paraId="4E1AC81A" w14:textId="77777777" w:rsidTr="5079A2BF">
              <w:trPr>
                <w:trHeight w:val="254"/>
              </w:trPr>
              <w:tc>
                <w:tcPr>
                  <w:tcW w:w="2439" w:type="dxa"/>
                </w:tcPr>
                <w:p w14:paraId="07C968FD" w14:textId="73EBE172" w:rsidR="00ED64EA" w:rsidRPr="006F1EEC" w:rsidRDefault="006F7C41" w:rsidP="006F7C41">
                  <w:pPr>
                    <w:jc w:val="center"/>
                    <w:rPr>
                      <w:rFonts w:ascii="Arial" w:hAnsi="Arial" w:cs="Arial"/>
                      <w:sz w:val="20"/>
                      <w:lang w:eastAsia="nl-NL"/>
                    </w:rPr>
                  </w:pPr>
                  <w:r w:rsidRPr="006F1EEC">
                    <w:rPr>
                      <w:rFonts w:ascii="Arial" w:hAnsi="Arial" w:cs="Arial"/>
                      <w:sz w:val="20"/>
                      <w:lang w:eastAsia="nl-NL"/>
                    </w:rPr>
                    <w:t>setup</w:t>
                  </w:r>
                </w:p>
              </w:tc>
              <w:tc>
                <w:tcPr>
                  <w:tcW w:w="1276" w:type="dxa"/>
                </w:tcPr>
                <w:p w14:paraId="54CD74BF" w14:textId="4FDA8FCD" w:rsidR="00ED64EA" w:rsidRPr="006F1EEC" w:rsidRDefault="00DEE3A0">
                  <w:pPr>
                    <w:jc w:val="center"/>
                    <w:rPr>
                      <w:rFonts w:ascii="Arial" w:hAnsi="Arial" w:cs="Arial"/>
                      <w:sz w:val="20"/>
                      <w:lang w:eastAsia="nl-NL"/>
                    </w:rPr>
                  </w:pPr>
                  <w:r w:rsidRPr="006F1EEC">
                    <w:rPr>
                      <w:rFonts w:ascii="Arial" w:hAnsi="Arial" w:cs="Arial"/>
                      <w:sz w:val="20"/>
                      <w:lang w:eastAsia="nl-NL"/>
                    </w:rPr>
                    <w:t>Jan</w:t>
                  </w:r>
                  <w:r w:rsidR="00ED64EA" w:rsidRPr="006F1EEC">
                    <w:rPr>
                      <w:rFonts w:ascii="Arial" w:hAnsi="Arial" w:cs="Arial"/>
                      <w:sz w:val="20"/>
                      <w:lang w:eastAsia="nl-NL"/>
                    </w:rPr>
                    <w:t>. 201</w:t>
                  </w:r>
                  <w:r w:rsidRPr="006F1EEC">
                    <w:rPr>
                      <w:rFonts w:ascii="Arial" w:hAnsi="Arial" w:cs="Arial"/>
                      <w:sz w:val="20"/>
                      <w:lang w:eastAsia="nl-NL"/>
                    </w:rPr>
                    <w:t>9</w:t>
                  </w:r>
                </w:p>
              </w:tc>
              <w:tc>
                <w:tcPr>
                  <w:tcW w:w="1134" w:type="dxa"/>
                </w:tcPr>
                <w:p w14:paraId="71330A30" w14:textId="70DA2A55" w:rsidR="00ED64EA" w:rsidRPr="006F1EEC" w:rsidRDefault="499E48BA">
                  <w:pPr>
                    <w:jc w:val="center"/>
                    <w:rPr>
                      <w:rFonts w:ascii="Arial" w:hAnsi="Arial" w:cs="Arial"/>
                      <w:sz w:val="20"/>
                      <w:lang w:eastAsia="nl-NL"/>
                    </w:rPr>
                  </w:pPr>
                  <w:r w:rsidRPr="006F1EEC">
                    <w:rPr>
                      <w:rFonts w:ascii="Arial" w:hAnsi="Arial" w:cs="Arial"/>
                      <w:sz w:val="20"/>
                      <w:lang w:eastAsia="nl-NL"/>
                    </w:rPr>
                    <w:t>1</w:t>
                  </w:r>
                </w:p>
              </w:tc>
            </w:tr>
            <w:tr w:rsidR="00ED64EA" w:rsidRPr="006F1EEC" w14:paraId="5632EB9C" w14:textId="77777777" w:rsidTr="5079A2BF">
              <w:trPr>
                <w:trHeight w:val="243"/>
              </w:trPr>
              <w:tc>
                <w:tcPr>
                  <w:tcW w:w="2439" w:type="dxa"/>
                </w:tcPr>
                <w:p w14:paraId="747B603D" w14:textId="470652DF" w:rsidR="00ED64EA" w:rsidRPr="006F1EEC" w:rsidRDefault="003415EF" w:rsidP="00B25CFB">
                  <w:pPr>
                    <w:jc w:val="center"/>
                    <w:rPr>
                      <w:rFonts w:ascii="Arial" w:hAnsi="Arial" w:cs="Arial"/>
                      <w:sz w:val="20"/>
                      <w:lang w:eastAsia="nl-NL"/>
                    </w:rPr>
                  </w:pPr>
                  <w:r>
                    <w:rPr>
                      <w:rFonts w:ascii="Arial" w:hAnsi="Arial" w:cs="Arial"/>
                      <w:sz w:val="20"/>
                      <w:lang w:eastAsia="nl-NL"/>
                    </w:rPr>
                    <w:t>pilot descriptions</w:t>
                  </w:r>
                </w:p>
              </w:tc>
              <w:tc>
                <w:tcPr>
                  <w:tcW w:w="1276" w:type="dxa"/>
                </w:tcPr>
                <w:p w14:paraId="3C27F959" w14:textId="57A231C2" w:rsidR="00ED64EA" w:rsidRPr="006F1EEC" w:rsidRDefault="003415EF" w:rsidP="00B25CFB">
                  <w:pPr>
                    <w:jc w:val="center"/>
                    <w:rPr>
                      <w:rFonts w:ascii="Arial" w:hAnsi="Arial" w:cs="Arial"/>
                      <w:sz w:val="20"/>
                      <w:lang w:eastAsia="nl-NL"/>
                    </w:rPr>
                  </w:pPr>
                  <w:r>
                    <w:rPr>
                      <w:rFonts w:ascii="Arial" w:hAnsi="Arial" w:cs="Arial"/>
                      <w:sz w:val="20"/>
                      <w:lang w:eastAsia="nl-NL"/>
                    </w:rPr>
                    <w:t>March 2019</w:t>
                  </w:r>
                </w:p>
              </w:tc>
              <w:tc>
                <w:tcPr>
                  <w:tcW w:w="1134" w:type="dxa"/>
                </w:tcPr>
                <w:p w14:paraId="5C6CD4F7" w14:textId="045BB43A" w:rsidR="00ED64EA" w:rsidRPr="006F1EEC" w:rsidRDefault="003415EF" w:rsidP="00B25CFB">
                  <w:pPr>
                    <w:jc w:val="center"/>
                    <w:rPr>
                      <w:rFonts w:ascii="Arial" w:hAnsi="Arial" w:cs="Arial"/>
                      <w:sz w:val="20"/>
                      <w:lang w:eastAsia="nl-NL"/>
                    </w:rPr>
                  </w:pPr>
                  <w:r>
                    <w:rPr>
                      <w:rFonts w:ascii="Arial" w:hAnsi="Arial" w:cs="Arial"/>
                      <w:sz w:val="20"/>
                      <w:lang w:eastAsia="nl-NL"/>
                    </w:rPr>
                    <w:t>2</w:t>
                  </w:r>
                </w:p>
              </w:tc>
            </w:tr>
            <w:tr w:rsidR="00ED64EA" w:rsidRPr="006F1EEC" w14:paraId="3F2A5065" w14:textId="77777777" w:rsidTr="5079A2BF">
              <w:trPr>
                <w:trHeight w:val="254"/>
              </w:trPr>
              <w:tc>
                <w:tcPr>
                  <w:tcW w:w="2439" w:type="dxa"/>
                </w:tcPr>
                <w:p w14:paraId="7A859E61" w14:textId="39D983B7" w:rsidR="00ED64EA" w:rsidRPr="006F1EEC" w:rsidRDefault="0096035E">
                  <w:pPr>
                    <w:jc w:val="center"/>
                    <w:rPr>
                      <w:rFonts w:ascii="Arial" w:hAnsi="Arial" w:cs="Arial"/>
                      <w:sz w:val="20"/>
                      <w:lang w:eastAsia="nl-NL"/>
                    </w:rPr>
                  </w:pPr>
                  <w:r>
                    <w:rPr>
                      <w:rFonts w:ascii="Arial" w:hAnsi="Arial" w:cs="Arial"/>
                      <w:sz w:val="20"/>
                      <w:lang w:eastAsia="nl-NL"/>
                    </w:rPr>
                    <w:t>Data collection plans</w:t>
                  </w:r>
                </w:p>
              </w:tc>
              <w:tc>
                <w:tcPr>
                  <w:tcW w:w="1276" w:type="dxa"/>
                </w:tcPr>
                <w:p w14:paraId="7319DFDA" w14:textId="689ED8F9" w:rsidR="00ED64EA" w:rsidRPr="006F1EEC" w:rsidRDefault="0096035E" w:rsidP="00B25CFB">
                  <w:pPr>
                    <w:jc w:val="center"/>
                    <w:rPr>
                      <w:rFonts w:ascii="Arial" w:hAnsi="Arial" w:cs="Arial"/>
                      <w:sz w:val="20"/>
                      <w:lang w:eastAsia="nl-NL"/>
                    </w:rPr>
                  </w:pPr>
                  <w:r>
                    <w:rPr>
                      <w:rFonts w:ascii="Arial" w:hAnsi="Arial" w:cs="Arial"/>
                      <w:sz w:val="20"/>
                      <w:lang w:eastAsia="nl-NL"/>
                    </w:rPr>
                    <w:t>April 2019</w:t>
                  </w:r>
                </w:p>
              </w:tc>
              <w:tc>
                <w:tcPr>
                  <w:tcW w:w="1134" w:type="dxa"/>
                </w:tcPr>
                <w:p w14:paraId="1C13D049" w14:textId="30F6ABF7" w:rsidR="00ED64EA" w:rsidRPr="006F1EEC" w:rsidRDefault="0096035E" w:rsidP="00B25CFB">
                  <w:pPr>
                    <w:jc w:val="center"/>
                    <w:rPr>
                      <w:rFonts w:ascii="Arial" w:hAnsi="Arial" w:cs="Arial"/>
                      <w:sz w:val="20"/>
                      <w:lang w:eastAsia="nl-NL"/>
                    </w:rPr>
                  </w:pPr>
                  <w:r>
                    <w:rPr>
                      <w:rFonts w:ascii="Arial" w:hAnsi="Arial" w:cs="Arial"/>
                      <w:sz w:val="20"/>
                      <w:lang w:eastAsia="nl-NL"/>
                    </w:rPr>
                    <w:t>3</w:t>
                  </w:r>
                </w:p>
              </w:tc>
            </w:tr>
            <w:tr w:rsidR="00ED64EA" w:rsidRPr="006F1EEC" w14:paraId="1B54699F" w14:textId="77777777" w:rsidTr="5079A2BF">
              <w:trPr>
                <w:trHeight w:val="254"/>
              </w:trPr>
              <w:tc>
                <w:tcPr>
                  <w:tcW w:w="2439" w:type="dxa"/>
                </w:tcPr>
                <w:p w14:paraId="555AFE4B" w14:textId="682373BC" w:rsidR="00ED64EA" w:rsidRPr="006F1EEC" w:rsidRDefault="00E24DEB" w:rsidP="00B25CFB">
                  <w:pPr>
                    <w:jc w:val="center"/>
                    <w:rPr>
                      <w:rFonts w:ascii="Arial" w:hAnsi="Arial" w:cs="Arial"/>
                      <w:sz w:val="20"/>
                      <w:lang w:eastAsia="nl-NL"/>
                    </w:rPr>
                  </w:pPr>
                  <w:r>
                    <w:rPr>
                      <w:rFonts w:ascii="Arial" w:hAnsi="Arial" w:cs="Arial"/>
                      <w:sz w:val="20"/>
                      <w:lang w:eastAsia="nl-NL"/>
                    </w:rPr>
                    <w:t>Literature review</w:t>
                  </w:r>
                </w:p>
              </w:tc>
              <w:tc>
                <w:tcPr>
                  <w:tcW w:w="1276" w:type="dxa"/>
                </w:tcPr>
                <w:p w14:paraId="1EDA67A7" w14:textId="331BE57D" w:rsidR="00ED64EA" w:rsidRPr="006F1EEC" w:rsidRDefault="00E24DEB" w:rsidP="00B25CFB">
                  <w:pPr>
                    <w:jc w:val="center"/>
                    <w:rPr>
                      <w:rFonts w:ascii="Arial" w:hAnsi="Arial" w:cs="Arial"/>
                      <w:sz w:val="20"/>
                      <w:lang w:eastAsia="nl-NL"/>
                    </w:rPr>
                  </w:pPr>
                  <w:r>
                    <w:rPr>
                      <w:rFonts w:ascii="Arial" w:hAnsi="Arial" w:cs="Arial"/>
                      <w:sz w:val="20"/>
                      <w:lang w:eastAsia="nl-NL"/>
                    </w:rPr>
                    <w:t>May 2019</w:t>
                  </w:r>
                </w:p>
              </w:tc>
              <w:tc>
                <w:tcPr>
                  <w:tcW w:w="1134" w:type="dxa"/>
                </w:tcPr>
                <w:p w14:paraId="643333BB" w14:textId="503FBF5B" w:rsidR="00ED64EA" w:rsidRPr="006F1EEC" w:rsidRDefault="00E24DEB" w:rsidP="00B25CFB">
                  <w:pPr>
                    <w:jc w:val="center"/>
                    <w:rPr>
                      <w:rFonts w:ascii="Arial" w:hAnsi="Arial" w:cs="Arial"/>
                      <w:sz w:val="20"/>
                      <w:lang w:eastAsia="nl-NL"/>
                    </w:rPr>
                  </w:pPr>
                  <w:r>
                    <w:rPr>
                      <w:rFonts w:ascii="Arial" w:hAnsi="Arial" w:cs="Arial"/>
                      <w:sz w:val="20"/>
                      <w:lang w:eastAsia="nl-NL"/>
                    </w:rPr>
                    <w:t>4</w:t>
                  </w:r>
                </w:p>
              </w:tc>
            </w:tr>
            <w:tr w:rsidR="00ED64EA" w:rsidRPr="006F1EEC" w14:paraId="05BA70C2" w14:textId="77777777" w:rsidTr="5079A2BF">
              <w:trPr>
                <w:trHeight w:val="254"/>
              </w:trPr>
              <w:tc>
                <w:tcPr>
                  <w:tcW w:w="2439" w:type="dxa"/>
                </w:tcPr>
                <w:p w14:paraId="1064C6B1" w14:textId="64C22E61" w:rsidR="00ED64EA" w:rsidRPr="006F1EEC" w:rsidRDefault="004C32FC" w:rsidP="00B25CFB">
                  <w:pPr>
                    <w:jc w:val="center"/>
                    <w:rPr>
                      <w:rFonts w:ascii="Arial" w:hAnsi="Arial" w:cs="Arial"/>
                      <w:sz w:val="20"/>
                      <w:lang w:eastAsia="nl-NL"/>
                    </w:rPr>
                  </w:pPr>
                  <w:r>
                    <w:rPr>
                      <w:rFonts w:ascii="Arial" w:hAnsi="Arial" w:cs="Arial"/>
                      <w:sz w:val="20"/>
                      <w:lang w:eastAsia="nl-NL"/>
                    </w:rPr>
                    <w:t>Final</w:t>
                  </w:r>
                </w:p>
              </w:tc>
              <w:tc>
                <w:tcPr>
                  <w:tcW w:w="1276" w:type="dxa"/>
                </w:tcPr>
                <w:p w14:paraId="0527242F" w14:textId="6E5B2E4C" w:rsidR="00ED64EA" w:rsidRPr="006F1EEC" w:rsidRDefault="004C32FC" w:rsidP="00B25CFB">
                  <w:pPr>
                    <w:jc w:val="center"/>
                    <w:rPr>
                      <w:rFonts w:ascii="Arial" w:hAnsi="Arial" w:cs="Arial"/>
                      <w:sz w:val="20"/>
                      <w:lang w:eastAsia="nl-NL"/>
                    </w:rPr>
                  </w:pPr>
                  <w:r>
                    <w:rPr>
                      <w:rFonts w:ascii="Arial" w:hAnsi="Arial" w:cs="Arial"/>
                      <w:sz w:val="20"/>
                      <w:lang w:eastAsia="nl-NL"/>
                    </w:rPr>
                    <w:t>June 2019</w:t>
                  </w:r>
                </w:p>
              </w:tc>
              <w:tc>
                <w:tcPr>
                  <w:tcW w:w="1134" w:type="dxa"/>
                </w:tcPr>
                <w:p w14:paraId="2D35D85F" w14:textId="3B0C04AF" w:rsidR="00ED64EA" w:rsidRPr="006F1EEC" w:rsidRDefault="004C32FC" w:rsidP="00B25CFB">
                  <w:pPr>
                    <w:jc w:val="center"/>
                    <w:rPr>
                      <w:rFonts w:ascii="Arial" w:hAnsi="Arial" w:cs="Arial"/>
                      <w:sz w:val="20"/>
                      <w:lang w:eastAsia="nl-NL"/>
                    </w:rPr>
                  </w:pPr>
                  <w:r>
                    <w:rPr>
                      <w:rFonts w:ascii="Arial" w:hAnsi="Arial" w:cs="Arial"/>
                      <w:sz w:val="20"/>
                      <w:lang w:eastAsia="nl-NL"/>
                    </w:rPr>
                    <w:t>5</w:t>
                  </w:r>
                </w:p>
              </w:tc>
            </w:tr>
          </w:tbl>
          <w:p w14:paraId="0DC4A2BD" w14:textId="77777777" w:rsidR="009B61F0" w:rsidRPr="006F1EEC" w:rsidRDefault="009B61F0" w:rsidP="00B25CFB">
            <w:pPr>
              <w:jc w:val="center"/>
              <w:rPr>
                <w:sz w:val="20"/>
                <w:lang w:eastAsia="nl-NL"/>
              </w:rPr>
            </w:pPr>
          </w:p>
        </w:tc>
        <w:tc>
          <w:tcPr>
            <w:tcW w:w="236" w:type="dxa"/>
          </w:tcPr>
          <w:p w14:paraId="4BA3F1AB" w14:textId="77777777" w:rsidR="009B61F0" w:rsidRPr="006F1EEC" w:rsidRDefault="009B61F0" w:rsidP="00070E39">
            <w:pPr>
              <w:rPr>
                <w:rFonts w:ascii="Arial" w:hAnsi="Arial" w:cs="Arial"/>
                <w:sz w:val="20"/>
              </w:rPr>
            </w:pPr>
          </w:p>
        </w:tc>
        <w:tc>
          <w:tcPr>
            <w:tcW w:w="3875" w:type="dxa"/>
            <w:vAlign w:val="center"/>
          </w:tcPr>
          <w:p w14:paraId="6B7B121F" w14:textId="77777777" w:rsidR="009B61F0" w:rsidRPr="006F1EEC" w:rsidRDefault="009B61F0" w:rsidP="00070E39">
            <w:pPr>
              <w:rPr>
                <w:rFonts w:ascii="Arial" w:hAnsi="Arial" w:cs="Arial"/>
                <w:sz w:val="22"/>
                <w:szCs w:val="22"/>
              </w:rPr>
            </w:pPr>
          </w:p>
          <w:p w14:paraId="6B7329C4" w14:textId="14A78608" w:rsidR="009B61F0" w:rsidRPr="006F1EEC" w:rsidRDefault="009B61F0" w:rsidP="001A66DC">
            <w:pPr>
              <w:rPr>
                <w:rFonts w:ascii="Arial" w:hAnsi="Arial" w:cs="Arial"/>
                <w:sz w:val="22"/>
                <w:szCs w:val="22"/>
              </w:rPr>
            </w:pPr>
            <w:r w:rsidRPr="006F1EEC">
              <w:rPr>
                <w:rFonts w:ascii="Arial" w:hAnsi="Arial" w:cs="Arial"/>
                <w:sz w:val="22"/>
                <w:szCs w:val="22"/>
              </w:rPr>
              <w:t>This report is part of a pr</w:t>
            </w:r>
            <w:r w:rsidR="476751BF" w:rsidRPr="006F1EEC">
              <w:rPr>
                <w:rFonts w:ascii="Arial" w:hAnsi="Arial" w:cs="Arial"/>
                <w:sz w:val="22"/>
                <w:szCs w:val="22"/>
              </w:rPr>
              <w:t>o</w:t>
            </w:r>
            <w:r w:rsidRPr="006F1EEC">
              <w:rPr>
                <w:rFonts w:ascii="Arial" w:hAnsi="Arial" w:cs="Arial"/>
                <w:sz w:val="22"/>
                <w:szCs w:val="22"/>
              </w:rPr>
              <w:t>ject that has received funding by the European Union’s Horizon 2020 research and innovation programme under</w:t>
            </w:r>
            <w:r w:rsidRPr="006F1EEC" w:rsidDel="1CB81CED">
              <w:rPr>
                <w:rFonts w:ascii="Arial" w:hAnsi="Arial" w:cs="Arial"/>
                <w:sz w:val="22"/>
                <w:szCs w:val="22"/>
              </w:rPr>
              <w:t xml:space="preserve"> </w:t>
            </w:r>
            <w:r w:rsidRPr="006F1EEC">
              <w:rPr>
                <w:rFonts w:ascii="Arial" w:hAnsi="Arial" w:cs="Arial"/>
                <w:sz w:val="22"/>
                <w:szCs w:val="22"/>
              </w:rPr>
              <w:t>grant agreement number 731166.</w:t>
            </w:r>
            <w:r w:rsidR="49506EBA" w:rsidRPr="006F1EEC">
              <w:rPr>
                <w:rFonts w:ascii="Arial" w:hAnsi="Arial" w:cs="Arial"/>
                <w:sz w:val="22"/>
                <w:szCs w:val="22"/>
              </w:rPr>
              <w:t xml:space="preserve"> </w:t>
            </w:r>
            <w:r w:rsidR="560CAE2D" w:rsidRPr="006F1EEC">
              <w:rPr>
                <w:rFonts w:ascii="Arial" w:hAnsi="Arial" w:cs="Arial"/>
                <w:sz w:val="22"/>
                <w:szCs w:val="22"/>
              </w:rPr>
              <w:t xml:space="preserve"> </w:t>
            </w:r>
          </w:p>
          <w:p w14:paraId="3C1643CE" w14:textId="77777777" w:rsidR="009B61F0" w:rsidRPr="006F1EEC" w:rsidRDefault="009B61F0" w:rsidP="00070E39">
            <w:pPr>
              <w:rPr>
                <w:rFonts w:ascii="Arial" w:hAnsi="Arial" w:cs="Arial"/>
                <w:sz w:val="22"/>
                <w:szCs w:val="22"/>
              </w:rPr>
            </w:pPr>
          </w:p>
          <w:p w14:paraId="3D341C90" w14:textId="77777777" w:rsidR="009B61F0" w:rsidRPr="006F1EEC" w:rsidRDefault="009B61F0" w:rsidP="00070E39">
            <w:pPr>
              <w:rPr>
                <w:rFonts w:ascii="Arial" w:hAnsi="Arial" w:cs="Arial"/>
                <w:b/>
                <w:color w:val="E36C0A" w:themeColor="accent6" w:themeShade="BF"/>
                <w:sz w:val="32"/>
                <w:szCs w:val="32"/>
              </w:rPr>
            </w:pPr>
            <w:r w:rsidRPr="006F1EEC">
              <w:rPr>
                <w:noProof/>
                <w:lang w:eastAsia="en-GB"/>
              </w:rPr>
              <w:drawing>
                <wp:inline distT="0" distB="0" distL="0" distR="0" wp14:anchorId="1C3B4C7A" wp14:editId="29F1B791">
                  <wp:extent cx="722003" cy="606056"/>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EU.jpg"/>
                          <pic:cNvPicPr/>
                        </pic:nvPicPr>
                        <pic:blipFill rotWithShape="1">
                          <a:blip r:embed="rId9">
                            <a:extLst>
                              <a:ext uri="{28A0092B-C50C-407E-A947-70E740481C1C}">
                                <a14:useLocalDpi xmlns:a14="http://schemas.microsoft.com/office/drawing/2010/main" val="0"/>
                              </a:ext>
                            </a:extLst>
                          </a:blip>
                          <a:srcRect b="-23913"/>
                          <a:stretch/>
                        </pic:blipFill>
                        <pic:spPr bwMode="auto">
                          <a:xfrm>
                            <a:off x="0" y="0"/>
                            <a:ext cx="725423" cy="608927"/>
                          </a:xfrm>
                          <a:prstGeom prst="rect">
                            <a:avLst/>
                          </a:prstGeom>
                          <a:ln>
                            <a:noFill/>
                          </a:ln>
                          <a:extLst>
                            <a:ext uri="{53640926-AAD7-44D8-BBD7-CCE9431645EC}">
                              <a14:shadowObscured xmlns:a14="http://schemas.microsoft.com/office/drawing/2010/main"/>
                            </a:ext>
                          </a:extLst>
                        </pic:spPr>
                      </pic:pic>
                    </a:graphicData>
                  </a:graphic>
                </wp:inline>
              </w:drawing>
            </w:r>
          </w:p>
          <w:p w14:paraId="13389B47" w14:textId="77777777" w:rsidR="000A6359" w:rsidRPr="006F1EEC" w:rsidRDefault="000A6359" w:rsidP="00070E39">
            <w:pPr>
              <w:rPr>
                <w:rFonts w:ascii="Arial" w:hAnsi="Arial" w:cs="Arial"/>
                <w:b/>
                <w:color w:val="E36C0A" w:themeColor="accent6" w:themeShade="BF"/>
                <w:sz w:val="32"/>
                <w:szCs w:val="32"/>
              </w:rPr>
            </w:pPr>
          </w:p>
          <w:p w14:paraId="7DA9B9E5" w14:textId="77777777" w:rsidR="000A6359" w:rsidRPr="006F1EEC" w:rsidRDefault="000A6359" w:rsidP="00070E39">
            <w:pPr>
              <w:rPr>
                <w:rFonts w:ascii="Arial" w:hAnsi="Arial" w:cs="Arial"/>
                <w:b/>
                <w:color w:val="E36C0A" w:themeColor="accent6" w:themeShade="BF"/>
                <w:sz w:val="32"/>
                <w:szCs w:val="32"/>
              </w:rPr>
            </w:pPr>
          </w:p>
          <w:p w14:paraId="734D94DA" w14:textId="77777777" w:rsidR="000A6359" w:rsidRPr="006F1EEC" w:rsidRDefault="000A6359" w:rsidP="00070E39">
            <w:pPr>
              <w:rPr>
                <w:rFonts w:ascii="Arial" w:hAnsi="Arial" w:cs="Arial"/>
                <w:b/>
                <w:color w:val="E36C0A" w:themeColor="accent6" w:themeShade="BF"/>
                <w:sz w:val="32"/>
                <w:szCs w:val="32"/>
              </w:rPr>
            </w:pPr>
          </w:p>
        </w:tc>
      </w:tr>
    </w:tbl>
    <w:tbl>
      <w:tblPr>
        <w:tblStyle w:val="Lysliste-fremhvningsfarve6"/>
        <w:tblW w:w="9214" w:type="dxa"/>
        <w:tblInd w:w="-147" w:type="dxa"/>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tblBorders>
        <w:tblLayout w:type="fixed"/>
        <w:tblLook w:val="04A0" w:firstRow="1" w:lastRow="0" w:firstColumn="1" w:lastColumn="0" w:noHBand="0" w:noVBand="1"/>
      </w:tblPr>
      <w:tblGrid>
        <w:gridCol w:w="3072"/>
        <w:gridCol w:w="3071"/>
        <w:gridCol w:w="3071"/>
      </w:tblGrid>
      <w:tr w:rsidR="008C0016" w:rsidRPr="006F1EEC" w14:paraId="257A1A95" w14:textId="77777777" w:rsidTr="006F7C41">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dxa"/>
            <w:gridSpan w:val="3"/>
            <w:tcBorders>
              <w:top w:val="single" w:sz="4" w:space="0" w:color="76923C" w:themeColor="accent3" w:themeShade="BF"/>
              <w:bottom w:val="single" w:sz="4" w:space="0" w:color="76923C" w:themeColor="accent3" w:themeShade="BF"/>
            </w:tcBorders>
            <w:shd w:val="clear" w:color="auto" w:fill="auto"/>
            <w:hideMark/>
          </w:tcPr>
          <w:p w14:paraId="7B5C7825" w14:textId="77777777" w:rsidR="008C0016" w:rsidRPr="006F1EEC" w:rsidRDefault="008C0016" w:rsidP="003C28BD">
            <w:pPr>
              <w:rPr>
                <w:rFonts w:ascii="Arial" w:hAnsi="Arial" w:cs="Arial"/>
                <w:b w:val="0"/>
                <w:bCs w:val="0"/>
                <w:color w:val="000000"/>
                <w:sz w:val="22"/>
                <w:szCs w:val="22"/>
                <w:lang w:eastAsia="nl-NL"/>
              </w:rPr>
            </w:pPr>
            <w:r w:rsidRPr="006F1EEC">
              <w:rPr>
                <w:rFonts w:ascii="Arial" w:hAnsi="Arial" w:cs="Arial"/>
                <w:color w:val="76923C" w:themeColor="accent3" w:themeShade="BF"/>
                <w:sz w:val="22"/>
                <w:szCs w:val="22"/>
                <w:lang w:eastAsia="nl-NL"/>
              </w:rPr>
              <w:t>Deliverable Data</w:t>
            </w:r>
          </w:p>
        </w:tc>
      </w:tr>
      <w:tr w:rsidR="008C0016" w:rsidRPr="006F1EEC" w14:paraId="380D539D" w14:textId="77777777" w:rsidTr="006F7C4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right w:val="single" w:sz="4" w:space="0" w:color="76923C" w:themeColor="accent3" w:themeShade="BF"/>
            </w:tcBorders>
            <w:hideMark/>
          </w:tcPr>
          <w:p w14:paraId="585A8957" w14:textId="77777777" w:rsidR="008C0016" w:rsidRPr="006F1EEC" w:rsidRDefault="008C0016" w:rsidP="003C28BD">
            <w:pPr>
              <w:rPr>
                <w:rFonts w:ascii="Arial" w:hAnsi="Arial" w:cs="Arial"/>
                <w:color w:val="000000"/>
                <w:sz w:val="22"/>
                <w:szCs w:val="22"/>
                <w:lang w:eastAsia="nl-NL"/>
              </w:rPr>
            </w:pPr>
            <w:r w:rsidRPr="006F1EEC">
              <w:rPr>
                <w:rFonts w:ascii="Arial" w:hAnsi="Arial" w:cs="Arial"/>
                <w:color w:val="000000"/>
                <w:sz w:val="22"/>
                <w:szCs w:val="22"/>
                <w:lang w:eastAsia="nl-NL"/>
              </w:rPr>
              <w:t>Deliverable number</w:t>
            </w:r>
          </w:p>
        </w:tc>
        <w:tc>
          <w:tcPr>
            <w:tcW w:w="0" w:type="dxa"/>
            <w:gridSpan w:val="2"/>
            <w:tcBorders>
              <w:top w:val="single" w:sz="4" w:space="0" w:color="76923C" w:themeColor="accent3" w:themeShade="BF"/>
              <w:left w:val="single" w:sz="4" w:space="0" w:color="76923C" w:themeColor="accent3" w:themeShade="BF"/>
              <w:bottom w:val="nil"/>
              <w:right w:val="none" w:sz="0" w:space="0" w:color="auto"/>
            </w:tcBorders>
          </w:tcPr>
          <w:p w14:paraId="2453A5D3" w14:textId="756C7E8A" w:rsidR="008C0016" w:rsidRPr="006F1EEC" w:rsidRDefault="008C0016" w:rsidP="006F7C41">
            <w:pP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nl-NL"/>
              </w:rPr>
            </w:pPr>
            <w:r w:rsidRPr="006F1EEC">
              <w:rPr>
                <w:rFonts w:ascii="Arial" w:hAnsi="Arial" w:cs="Arial"/>
                <w:color w:val="000000"/>
                <w:sz w:val="22"/>
                <w:szCs w:val="22"/>
                <w:lang w:eastAsia="nl-NL"/>
              </w:rPr>
              <w:t>D</w:t>
            </w:r>
            <w:r w:rsidR="006F7C41" w:rsidRPr="006F1EEC">
              <w:rPr>
                <w:rFonts w:ascii="Arial" w:hAnsi="Arial" w:cs="Arial"/>
                <w:color w:val="000000"/>
                <w:sz w:val="22"/>
                <w:szCs w:val="22"/>
                <w:lang w:eastAsia="nl-NL"/>
              </w:rPr>
              <w:t>3</w:t>
            </w:r>
            <w:r w:rsidR="000D0C56" w:rsidRPr="006F1EEC">
              <w:rPr>
                <w:rFonts w:ascii="Arial" w:hAnsi="Arial" w:cs="Arial"/>
                <w:color w:val="000000"/>
                <w:sz w:val="22"/>
                <w:szCs w:val="22"/>
                <w:lang w:eastAsia="nl-NL"/>
              </w:rPr>
              <w:t>.1</w:t>
            </w:r>
          </w:p>
        </w:tc>
      </w:tr>
      <w:tr w:rsidR="008C0016" w:rsidRPr="006F1EEC" w14:paraId="00A93FEF" w14:textId="77777777" w:rsidTr="00772F42">
        <w:trPr>
          <w:trHeight w:val="309"/>
        </w:trPr>
        <w:tc>
          <w:tcPr>
            <w:cnfStyle w:val="001000000000" w:firstRow="0" w:lastRow="0" w:firstColumn="1" w:lastColumn="0" w:oddVBand="0" w:evenVBand="0" w:oddHBand="0" w:evenHBand="0" w:firstRowFirstColumn="0" w:firstRowLastColumn="0" w:lastRowFirstColumn="0" w:lastRowLastColumn="0"/>
            <w:tcW w:w="0" w:type="dxa"/>
            <w:tcBorders>
              <w:right w:val="single" w:sz="4" w:space="0" w:color="76923C" w:themeColor="accent3" w:themeShade="BF"/>
            </w:tcBorders>
            <w:hideMark/>
          </w:tcPr>
          <w:p w14:paraId="724D7E35" w14:textId="77777777" w:rsidR="008C0016" w:rsidRPr="006F1EEC" w:rsidRDefault="008C0016" w:rsidP="003C28BD">
            <w:pPr>
              <w:rPr>
                <w:rFonts w:ascii="Arial" w:hAnsi="Arial" w:cs="Arial"/>
                <w:color w:val="000000"/>
                <w:sz w:val="22"/>
                <w:szCs w:val="22"/>
                <w:lang w:eastAsia="nl-NL"/>
              </w:rPr>
            </w:pPr>
            <w:r w:rsidRPr="006F1EEC">
              <w:rPr>
                <w:rFonts w:ascii="Arial" w:hAnsi="Arial" w:cs="Arial"/>
                <w:color w:val="000000"/>
                <w:sz w:val="22"/>
                <w:szCs w:val="22"/>
                <w:lang w:eastAsia="nl-NL"/>
              </w:rPr>
              <w:t>Dissemination level</w:t>
            </w:r>
          </w:p>
        </w:tc>
        <w:tc>
          <w:tcPr>
            <w:tcW w:w="0" w:type="dxa"/>
            <w:gridSpan w:val="2"/>
            <w:tcBorders>
              <w:top w:val="nil"/>
              <w:left w:val="single" w:sz="4" w:space="0" w:color="76923C" w:themeColor="accent3" w:themeShade="BF"/>
              <w:bottom w:val="nil"/>
            </w:tcBorders>
          </w:tcPr>
          <w:p w14:paraId="21EF9EBB" w14:textId="1A5E28B0" w:rsidR="008C0016" w:rsidRPr="006F1EEC" w:rsidRDefault="00360ACA" w:rsidP="003C28BD">
            <w:pP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nl-NL"/>
              </w:rPr>
            </w:pPr>
            <w:r w:rsidRPr="006F1EEC">
              <w:rPr>
                <w:rFonts w:ascii="Arial" w:hAnsi="Arial" w:cs="Arial"/>
                <w:color w:val="000000"/>
                <w:sz w:val="22"/>
                <w:szCs w:val="22"/>
                <w:lang w:eastAsia="nl-NL"/>
              </w:rPr>
              <w:t>Public</w:t>
            </w:r>
          </w:p>
        </w:tc>
      </w:tr>
      <w:tr w:rsidR="008C0016" w:rsidRPr="006F1EEC" w14:paraId="60EFE444" w14:textId="77777777" w:rsidTr="006F7C4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none" w:sz="0" w:space="0" w:color="auto"/>
              <w:right w:val="single" w:sz="4" w:space="0" w:color="76923C" w:themeColor="accent3" w:themeShade="BF"/>
            </w:tcBorders>
            <w:hideMark/>
          </w:tcPr>
          <w:p w14:paraId="780658B0" w14:textId="77777777" w:rsidR="008C0016" w:rsidRPr="006F1EEC" w:rsidRDefault="008C0016" w:rsidP="003C28BD">
            <w:pPr>
              <w:rPr>
                <w:rFonts w:ascii="Arial" w:hAnsi="Arial" w:cs="Arial"/>
                <w:color w:val="000000"/>
                <w:sz w:val="22"/>
                <w:szCs w:val="22"/>
                <w:lang w:eastAsia="nl-NL"/>
              </w:rPr>
            </w:pPr>
            <w:r w:rsidRPr="006F1EEC">
              <w:rPr>
                <w:rFonts w:ascii="Arial" w:hAnsi="Arial" w:cs="Arial"/>
                <w:color w:val="000000"/>
                <w:sz w:val="22"/>
                <w:szCs w:val="22"/>
                <w:lang w:eastAsia="nl-NL"/>
              </w:rPr>
              <w:t>Deliverable name</w:t>
            </w:r>
          </w:p>
        </w:tc>
        <w:tc>
          <w:tcPr>
            <w:tcW w:w="0" w:type="dxa"/>
            <w:gridSpan w:val="2"/>
            <w:tcBorders>
              <w:top w:val="nil"/>
              <w:left w:val="single" w:sz="4" w:space="0" w:color="76923C" w:themeColor="accent3" w:themeShade="BF"/>
              <w:bottom w:val="nil"/>
              <w:right w:val="none" w:sz="0" w:space="0" w:color="auto"/>
            </w:tcBorders>
          </w:tcPr>
          <w:p w14:paraId="26853FDE" w14:textId="36E5A9AE" w:rsidR="008C0016" w:rsidRPr="006F1EEC" w:rsidRDefault="003E3FB2" w:rsidP="00E85684">
            <w:pP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nl-NL"/>
              </w:rPr>
            </w:pPr>
            <w:r w:rsidRPr="006F1EEC">
              <w:rPr>
                <w:rFonts w:ascii="Calibri" w:hAnsi="Calibri"/>
                <w:color w:val="000000"/>
                <w:sz w:val="22"/>
                <w:szCs w:val="22"/>
                <w:lang w:eastAsia="nl-NL"/>
              </w:rPr>
              <w:t>Technical report on evidence for potential pathways for groundwater contamination from subsurface</w:t>
            </w:r>
            <w:r w:rsidR="00E85684" w:rsidRPr="006F1EEC">
              <w:rPr>
                <w:rFonts w:ascii="Calibri" w:hAnsi="Calibri"/>
                <w:color w:val="000000"/>
                <w:sz w:val="22"/>
                <w:szCs w:val="22"/>
                <w:lang w:eastAsia="nl-NL"/>
              </w:rPr>
              <w:t xml:space="preserve"> </w:t>
            </w:r>
            <w:r w:rsidRPr="006F1EEC">
              <w:rPr>
                <w:rFonts w:ascii="Calibri" w:hAnsi="Calibri"/>
                <w:color w:val="000000"/>
                <w:sz w:val="22"/>
                <w:szCs w:val="22"/>
                <w:lang w:eastAsia="nl-NL"/>
              </w:rPr>
              <w:t>energy activities and investigation/ data collection plan technical report</w:t>
            </w:r>
          </w:p>
        </w:tc>
      </w:tr>
      <w:tr w:rsidR="008C0016" w:rsidRPr="006F1EEC" w14:paraId="4BCBBC0A" w14:textId="77777777" w:rsidTr="006F7C41">
        <w:trPr>
          <w:trHeight w:val="300"/>
        </w:trPr>
        <w:tc>
          <w:tcPr>
            <w:cnfStyle w:val="001000000000" w:firstRow="0" w:lastRow="0" w:firstColumn="1" w:lastColumn="0" w:oddVBand="0" w:evenVBand="0" w:oddHBand="0" w:evenHBand="0" w:firstRowFirstColumn="0" w:firstRowLastColumn="0" w:lastRowFirstColumn="0" w:lastRowLastColumn="0"/>
            <w:tcW w:w="0" w:type="dxa"/>
            <w:tcBorders>
              <w:right w:val="single" w:sz="4" w:space="0" w:color="76923C" w:themeColor="accent3" w:themeShade="BF"/>
            </w:tcBorders>
            <w:hideMark/>
          </w:tcPr>
          <w:p w14:paraId="6E14DC84" w14:textId="77777777" w:rsidR="008C0016" w:rsidRPr="006F1EEC" w:rsidRDefault="008C0016" w:rsidP="003C28BD">
            <w:pPr>
              <w:rPr>
                <w:rFonts w:ascii="Arial" w:hAnsi="Arial" w:cs="Arial"/>
                <w:color w:val="000000"/>
                <w:sz w:val="22"/>
                <w:szCs w:val="22"/>
                <w:lang w:eastAsia="nl-NL"/>
              </w:rPr>
            </w:pPr>
            <w:r w:rsidRPr="006F1EEC">
              <w:rPr>
                <w:rFonts w:ascii="Arial" w:hAnsi="Arial" w:cs="Arial"/>
                <w:color w:val="000000"/>
                <w:sz w:val="22"/>
                <w:szCs w:val="22"/>
                <w:lang w:eastAsia="nl-NL"/>
              </w:rPr>
              <w:t>Work package</w:t>
            </w:r>
          </w:p>
        </w:tc>
        <w:tc>
          <w:tcPr>
            <w:tcW w:w="0" w:type="dxa"/>
            <w:gridSpan w:val="2"/>
            <w:tcBorders>
              <w:top w:val="nil"/>
              <w:left w:val="single" w:sz="4" w:space="0" w:color="76923C" w:themeColor="accent3" w:themeShade="BF"/>
              <w:bottom w:val="nil"/>
            </w:tcBorders>
          </w:tcPr>
          <w:p w14:paraId="315CAFA9" w14:textId="190602B7" w:rsidR="008C0016" w:rsidRPr="006F1EEC" w:rsidRDefault="00360ACA" w:rsidP="003E3FB2">
            <w:pPr>
              <w:jc w:val="left"/>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nl-NL"/>
              </w:rPr>
            </w:pPr>
            <w:r w:rsidRPr="006F1EEC">
              <w:rPr>
                <w:rFonts w:ascii="Arial" w:hAnsi="Arial" w:cs="Arial"/>
                <w:color w:val="000000"/>
                <w:sz w:val="22"/>
                <w:szCs w:val="22"/>
                <w:lang w:eastAsia="nl-NL"/>
              </w:rPr>
              <w:t>WP</w:t>
            </w:r>
            <w:r w:rsidR="003E3FB2" w:rsidRPr="006F1EEC">
              <w:rPr>
                <w:rFonts w:ascii="Arial" w:hAnsi="Arial" w:cs="Arial"/>
                <w:color w:val="000000"/>
                <w:sz w:val="22"/>
                <w:szCs w:val="22"/>
                <w:lang w:eastAsia="nl-NL"/>
              </w:rPr>
              <w:t>3</w:t>
            </w:r>
            <w:r w:rsidR="000D0C56" w:rsidRPr="006F1EEC">
              <w:rPr>
                <w:rFonts w:ascii="Arial" w:hAnsi="Arial" w:cs="Arial"/>
                <w:color w:val="000000"/>
                <w:sz w:val="22"/>
                <w:szCs w:val="22"/>
                <w:lang w:eastAsia="nl-NL"/>
              </w:rPr>
              <w:t xml:space="preserve">, </w:t>
            </w:r>
            <w:r w:rsidR="003E3FB2" w:rsidRPr="006F1EEC">
              <w:rPr>
                <w:rFonts w:ascii="Arial" w:hAnsi="Arial" w:cs="Arial"/>
                <w:color w:val="000000"/>
                <w:sz w:val="22"/>
                <w:szCs w:val="22"/>
                <w:lang w:eastAsia="nl-NL"/>
              </w:rPr>
              <w:t>Process Understanding</w:t>
            </w:r>
          </w:p>
        </w:tc>
      </w:tr>
      <w:tr w:rsidR="008C0016" w:rsidRPr="006F1EEC" w14:paraId="0819516C" w14:textId="77777777" w:rsidTr="006F7C41">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dxa"/>
            <w:tcBorders>
              <w:top w:val="none" w:sz="0" w:space="0" w:color="auto"/>
              <w:left w:val="none" w:sz="0" w:space="0" w:color="auto"/>
              <w:bottom w:val="single" w:sz="4" w:space="0" w:color="76923C" w:themeColor="accent3" w:themeShade="BF"/>
              <w:right w:val="single" w:sz="4" w:space="0" w:color="76923C" w:themeColor="accent3" w:themeShade="BF"/>
            </w:tcBorders>
            <w:hideMark/>
          </w:tcPr>
          <w:p w14:paraId="61F996B6" w14:textId="77777777" w:rsidR="008C0016" w:rsidRPr="006F1EEC" w:rsidRDefault="008C0016" w:rsidP="003C28BD">
            <w:pPr>
              <w:rPr>
                <w:rFonts w:ascii="Arial" w:hAnsi="Arial" w:cs="Arial"/>
                <w:color w:val="000000"/>
                <w:sz w:val="22"/>
                <w:szCs w:val="22"/>
                <w:lang w:eastAsia="nl-NL"/>
              </w:rPr>
            </w:pPr>
            <w:r w:rsidRPr="006F1EEC">
              <w:rPr>
                <w:rFonts w:ascii="Arial" w:hAnsi="Arial" w:cs="Arial"/>
                <w:color w:val="000000"/>
                <w:sz w:val="22"/>
                <w:szCs w:val="22"/>
                <w:lang w:eastAsia="nl-NL"/>
              </w:rPr>
              <w:t>Lead WP/Deliverable beneficiary</w:t>
            </w:r>
          </w:p>
        </w:tc>
        <w:tc>
          <w:tcPr>
            <w:tcW w:w="0" w:type="dxa"/>
            <w:gridSpan w:val="2"/>
            <w:tcBorders>
              <w:top w:val="nil"/>
              <w:left w:val="single" w:sz="4" w:space="0" w:color="76923C" w:themeColor="accent3" w:themeShade="BF"/>
              <w:bottom w:val="single" w:sz="4" w:space="0" w:color="76923C" w:themeColor="accent3" w:themeShade="BF"/>
              <w:right w:val="none" w:sz="0" w:space="0" w:color="auto"/>
            </w:tcBorders>
          </w:tcPr>
          <w:p w14:paraId="3F179E1B" w14:textId="2CB20674" w:rsidR="008C0016" w:rsidRPr="006F1EEC" w:rsidRDefault="003E3FB2" w:rsidP="003C28BD">
            <w:pP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nl-NL"/>
              </w:rPr>
            </w:pPr>
            <w:r w:rsidRPr="006F1EEC">
              <w:rPr>
                <w:rFonts w:ascii="Arial" w:hAnsi="Arial" w:cs="Arial"/>
                <w:color w:val="000000"/>
                <w:sz w:val="22"/>
                <w:szCs w:val="22"/>
                <w:lang w:eastAsia="nl-NL"/>
              </w:rPr>
              <w:t>TNO – Geological Survey of the Netherlands</w:t>
            </w:r>
          </w:p>
        </w:tc>
      </w:tr>
      <w:tr w:rsidR="008C0016" w:rsidRPr="006F1EEC" w14:paraId="389259CB" w14:textId="77777777" w:rsidTr="006F7C41">
        <w:trPr>
          <w:trHeight w:val="300"/>
        </w:trPr>
        <w:tc>
          <w:tcPr>
            <w:cnfStyle w:val="001000000000" w:firstRow="0" w:lastRow="0" w:firstColumn="1" w:lastColumn="0" w:oddVBand="0" w:evenVBand="0" w:oddHBand="0" w:evenHBand="0" w:firstRowFirstColumn="0" w:firstRowLastColumn="0" w:lastRowFirstColumn="0" w:lastRowLastColumn="0"/>
            <w:tcW w:w="0" w:type="dxa"/>
            <w:gridSpan w:val="3"/>
            <w:tcBorders>
              <w:top w:val="single" w:sz="4" w:space="0" w:color="76923C" w:themeColor="accent3" w:themeShade="BF"/>
              <w:bottom w:val="single" w:sz="4" w:space="0" w:color="76923C" w:themeColor="accent3" w:themeShade="BF"/>
            </w:tcBorders>
          </w:tcPr>
          <w:p w14:paraId="4E554705" w14:textId="77777777" w:rsidR="008C0016" w:rsidRPr="006F1EEC" w:rsidRDefault="008C0016" w:rsidP="003C28BD">
            <w:pPr>
              <w:rPr>
                <w:rFonts w:ascii="Calibri" w:hAnsi="Calibri"/>
                <w:color w:val="000000"/>
                <w:sz w:val="22"/>
                <w:szCs w:val="22"/>
                <w:lang w:eastAsia="nl-NL"/>
              </w:rPr>
            </w:pPr>
            <w:r w:rsidRPr="006F1EEC">
              <w:rPr>
                <w:rFonts w:ascii="Arial" w:hAnsi="Arial" w:cs="Arial"/>
                <w:color w:val="76923C" w:themeColor="accent3" w:themeShade="BF"/>
                <w:sz w:val="22"/>
                <w:szCs w:val="22"/>
                <w:lang w:eastAsia="nl-NL"/>
              </w:rPr>
              <w:t>Deliverable status</w:t>
            </w:r>
          </w:p>
        </w:tc>
      </w:tr>
      <w:tr w:rsidR="006F7C41" w:rsidRPr="006F1EEC" w14:paraId="1E3E175A" w14:textId="77777777" w:rsidTr="00705F1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tcBorders>
            <w:hideMark/>
          </w:tcPr>
          <w:p w14:paraId="618B8574" w14:textId="77777777" w:rsidR="00D07355" w:rsidRPr="006F1EEC" w:rsidRDefault="00D07355" w:rsidP="003C28BD">
            <w:pPr>
              <w:rPr>
                <w:rFonts w:ascii="Arial" w:hAnsi="Arial" w:cs="Arial"/>
                <w:bCs w:val="0"/>
                <w:color w:val="000000"/>
                <w:sz w:val="22"/>
                <w:szCs w:val="22"/>
                <w:lang w:eastAsia="nl-NL"/>
              </w:rPr>
            </w:pPr>
            <w:r w:rsidRPr="006F1EEC">
              <w:rPr>
                <w:rFonts w:ascii="Arial" w:hAnsi="Arial" w:cs="Arial"/>
                <w:color w:val="000000"/>
                <w:sz w:val="22"/>
                <w:szCs w:val="22"/>
                <w:lang w:eastAsia="nl-NL"/>
              </w:rPr>
              <w:t>Submitted (Author(s))</w:t>
            </w:r>
          </w:p>
        </w:tc>
        <w:tc>
          <w:tcPr>
            <w:tcW w:w="0" w:type="dxa"/>
            <w:tcBorders>
              <w:top w:val="single" w:sz="4" w:space="0" w:color="76923C" w:themeColor="accent3" w:themeShade="BF"/>
              <w:left w:val="single" w:sz="4" w:space="0" w:color="76923C" w:themeColor="accent3" w:themeShade="BF"/>
              <w:bottom w:val="nil"/>
              <w:right w:val="single" w:sz="4" w:space="0" w:color="76923C" w:themeColor="accent3" w:themeShade="BF"/>
            </w:tcBorders>
            <w:hideMark/>
          </w:tcPr>
          <w:p w14:paraId="408BA2A2" w14:textId="2EB264A8" w:rsidR="00D07355" w:rsidRPr="006F1EEC" w:rsidRDefault="00560C82" w:rsidP="003C28BD">
            <w:pP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nl-NL"/>
              </w:rPr>
            </w:pPr>
            <w:r>
              <w:rPr>
                <w:rFonts w:ascii="Calibri" w:hAnsi="Calibri"/>
                <w:color w:val="000000"/>
                <w:sz w:val="22"/>
                <w:szCs w:val="22"/>
                <w:lang w:eastAsia="nl-NL"/>
              </w:rPr>
              <w:t>28/6/2019</w:t>
            </w:r>
          </w:p>
        </w:tc>
        <w:tc>
          <w:tcPr>
            <w:tcW w:w="0" w:type="dxa"/>
            <w:tcBorders>
              <w:top w:val="single" w:sz="4" w:space="0" w:color="76923C" w:themeColor="accent3" w:themeShade="BF"/>
              <w:left w:val="single" w:sz="4" w:space="0" w:color="76923C" w:themeColor="accent3" w:themeShade="BF"/>
              <w:bottom w:val="nil"/>
              <w:right w:val="single" w:sz="4" w:space="0" w:color="76923C" w:themeColor="accent3" w:themeShade="BF"/>
            </w:tcBorders>
            <w:noWrap/>
          </w:tcPr>
          <w:p w14:paraId="47EB057B" w14:textId="5AE67ADB" w:rsidR="00D07355" w:rsidRPr="006F1EEC" w:rsidRDefault="003E3FB2" w:rsidP="003E3FB2">
            <w:pPr>
              <w:jc w:val="left"/>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nl-NL"/>
              </w:rPr>
            </w:pPr>
            <w:r w:rsidRPr="006F1EEC">
              <w:rPr>
                <w:rFonts w:ascii="Calibri" w:hAnsi="Calibri"/>
                <w:color w:val="000000"/>
                <w:sz w:val="22"/>
                <w:szCs w:val="22"/>
                <w:lang w:eastAsia="nl-NL"/>
              </w:rPr>
              <w:t>Willem Zaadnoordijk</w:t>
            </w:r>
          </w:p>
        </w:tc>
      </w:tr>
      <w:tr w:rsidR="00DA573B" w:rsidRPr="006F1EEC" w14:paraId="10D3A966" w14:textId="77777777" w:rsidTr="00705F15">
        <w:trPr>
          <w:trHeight w:val="30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76923C" w:themeColor="accent3" w:themeShade="BF"/>
              <w:bottom w:val="single" w:sz="4" w:space="0" w:color="76923C" w:themeColor="accent3" w:themeShade="BF"/>
              <w:right w:val="single" w:sz="4" w:space="0" w:color="76923C" w:themeColor="accent3" w:themeShade="BF"/>
            </w:tcBorders>
            <w:hideMark/>
          </w:tcPr>
          <w:p w14:paraId="4F129F1A" w14:textId="77777777" w:rsidR="00DA573B" w:rsidRPr="006F1EEC" w:rsidRDefault="00DA573B" w:rsidP="003C28BD">
            <w:pPr>
              <w:rPr>
                <w:rFonts w:ascii="Arial" w:hAnsi="Arial" w:cs="Arial"/>
                <w:bCs w:val="0"/>
                <w:color w:val="000000"/>
                <w:sz w:val="22"/>
                <w:szCs w:val="22"/>
                <w:lang w:eastAsia="nl-NL"/>
              </w:rPr>
            </w:pPr>
            <w:r w:rsidRPr="006F1EEC">
              <w:rPr>
                <w:rFonts w:ascii="Arial" w:hAnsi="Arial" w:cs="Arial"/>
                <w:color w:val="000000"/>
                <w:sz w:val="22"/>
                <w:szCs w:val="22"/>
                <w:lang w:eastAsia="nl-NL"/>
              </w:rPr>
              <w:t>Verified (WP leader)</w:t>
            </w:r>
          </w:p>
        </w:tc>
        <w:tc>
          <w:tcPr>
            <w:tcW w:w="0" w:type="dxa"/>
            <w:tcBorders>
              <w:top w:val="nil"/>
              <w:left w:val="single" w:sz="4" w:space="0" w:color="76923C" w:themeColor="accent3" w:themeShade="BF"/>
              <w:bottom w:val="nil"/>
              <w:right w:val="single" w:sz="4" w:space="0" w:color="76923C" w:themeColor="accent3" w:themeShade="BF"/>
            </w:tcBorders>
            <w:hideMark/>
          </w:tcPr>
          <w:p w14:paraId="186E8642" w14:textId="491045FF" w:rsidR="00DA573B" w:rsidRPr="006F1EEC" w:rsidRDefault="00560C82" w:rsidP="00E03ED3">
            <w:pP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lang w:eastAsia="nl-NL"/>
              </w:rPr>
            </w:pPr>
            <w:r>
              <w:rPr>
                <w:rFonts w:ascii="Calibri" w:hAnsi="Calibri"/>
                <w:color w:val="000000"/>
                <w:sz w:val="22"/>
                <w:szCs w:val="22"/>
                <w:lang w:eastAsia="nl-NL"/>
              </w:rPr>
              <w:t>28/6/2019</w:t>
            </w:r>
          </w:p>
        </w:tc>
        <w:tc>
          <w:tcPr>
            <w:tcW w:w="0" w:type="dxa"/>
            <w:tcBorders>
              <w:top w:val="nil"/>
              <w:left w:val="single" w:sz="4" w:space="0" w:color="76923C" w:themeColor="accent3" w:themeShade="BF"/>
              <w:bottom w:val="nil"/>
            </w:tcBorders>
            <w:noWrap/>
          </w:tcPr>
          <w:p w14:paraId="63215556" w14:textId="10C3A5FA" w:rsidR="00DA573B" w:rsidRPr="006F1EEC" w:rsidRDefault="003E3FB2" w:rsidP="003C28BD">
            <w:pPr>
              <w:cnfStyle w:val="000000000000" w:firstRow="0" w:lastRow="0" w:firstColumn="0" w:lastColumn="0" w:oddVBand="0" w:evenVBand="0" w:oddHBand="0" w:evenHBand="0" w:firstRowFirstColumn="0" w:firstRowLastColumn="0" w:lastRowFirstColumn="0" w:lastRowLastColumn="0"/>
              <w:rPr>
                <w:rFonts w:ascii="Calibri" w:hAnsi="Calibri"/>
                <w:color w:val="000000" w:themeColor="text1"/>
                <w:sz w:val="22"/>
                <w:szCs w:val="22"/>
                <w:lang w:eastAsia="nl-NL"/>
              </w:rPr>
            </w:pPr>
            <w:r w:rsidRPr="006F1EEC">
              <w:rPr>
                <w:rFonts w:ascii="Calibri" w:hAnsi="Calibri"/>
                <w:color w:val="000000"/>
                <w:sz w:val="22"/>
                <w:szCs w:val="22"/>
                <w:lang w:eastAsia="nl-NL"/>
              </w:rPr>
              <w:t>Willem Zaadnoordijk</w:t>
            </w:r>
          </w:p>
        </w:tc>
      </w:tr>
      <w:tr w:rsidR="006F7C41" w:rsidRPr="006F1EEC" w14:paraId="2FB1D990" w14:textId="77777777" w:rsidTr="00E330F9">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tcBorders>
            <w:hideMark/>
          </w:tcPr>
          <w:p w14:paraId="231669C6" w14:textId="77777777" w:rsidR="00DA573B" w:rsidRPr="006F1EEC" w:rsidRDefault="00DA573B" w:rsidP="003C28BD">
            <w:pPr>
              <w:rPr>
                <w:rFonts w:ascii="Arial" w:hAnsi="Arial" w:cs="Arial"/>
                <w:bCs w:val="0"/>
                <w:color w:val="000000"/>
                <w:sz w:val="22"/>
                <w:szCs w:val="22"/>
                <w:lang w:eastAsia="nl-NL"/>
              </w:rPr>
            </w:pPr>
            <w:r w:rsidRPr="006F1EEC">
              <w:rPr>
                <w:rFonts w:ascii="Arial" w:hAnsi="Arial" w:cs="Arial"/>
                <w:color w:val="000000"/>
                <w:sz w:val="22"/>
                <w:szCs w:val="22"/>
                <w:lang w:eastAsia="nl-NL"/>
              </w:rPr>
              <w:t>Approved (Coordinator)</w:t>
            </w:r>
          </w:p>
        </w:tc>
        <w:tc>
          <w:tcPr>
            <w:tcW w:w="0" w:type="dxa"/>
            <w:tcBorders>
              <w:top w:val="nil"/>
              <w:left w:val="single" w:sz="4" w:space="0" w:color="76923C" w:themeColor="accent3" w:themeShade="BF"/>
              <w:bottom w:val="single" w:sz="4" w:space="0" w:color="76923C" w:themeColor="accent3" w:themeShade="BF"/>
              <w:right w:val="single" w:sz="4" w:space="0" w:color="76923C" w:themeColor="accent3" w:themeShade="BF"/>
            </w:tcBorders>
            <w:hideMark/>
          </w:tcPr>
          <w:p w14:paraId="2DE4A1DB" w14:textId="71CDB1A4" w:rsidR="00DA573B" w:rsidRPr="006F1EEC" w:rsidRDefault="00DA4559" w:rsidP="003C28BD">
            <w:pP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nl-NL"/>
              </w:rPr>
            </w:pPr>
            <w:r>
              <w:rPr>
                <w:rFonts w:ascii="Calibri" w:hAnsi="Calibri"/>
                <w:color w:val="000000"/>
                <w:sz w:val="22"/>
                <w:szCs w:val="22"/>
                <w:lang w:eastAsia="nl-NL"/>
              </w:rPr>
              <w:t>19/07/2019</w:t>
            </w:r>
          </w:p>
        </w:tc>
        <w:tc>
          <w:tcPr>
            <w:tcW w:w="0" w:type="dxa"/>
            <w:tcBorders>
              <w:top w:val="nil"/>
              <w:left w:val="single" w:sz="4" w:space="0" w:color="76923C" w:themeColor="accent3" w:themeShade="BF"/>
              <w:bottom w:val="single" w:sz="4" w:space="0" w:color="76923C" w:themeColor="accent3" w:themeShade="BF"/>
              <w:right w:val="single" w:sz="4" w:space="0" w:color="76923C" w:themeColor="accent3" w:themeShade="BF"/>
            </w:tcBorders>
            <w:noWrap/>
          </w:tcPr>
          <w:p w14:paraId="372208A1" w14:textId="177C1097" w:rsidR="00DA573B" w:rsidRPr="006F1EEC" w:rsidRDefault="00B04CB0" w:rsidP="003C28BD">
            <w:pP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lang w:eastAsia="nl-NL"/>
              </w:rPr>
            </w:pPr>
            <w:r>
              <w:rPr>
                <w:rFonts w:ascii="Calibri" w:hAnsi="Calibri"/>
                <w:color w:val="000000"/>
                <w:sz w:val="22"/>
                <w:szCs w:val="22"/>
                <w:lang w:eastAsia="nl-NL"/>
              </w:rPr>
              <w:t>Marco Bianchi (BGS)</w:t>
            </w:r>
          </w:p>
        </w:tc>
      </w:tr>
    </w:tbl>
    <w:p w14:paraId="54F43151" w14:textId="77777777" w:rsidR="00C72B82" w:rsidRPr="006F1EEC" w:rsidRDefault="00C72B82" w:rsidP="00C72B82">
      <w:pPr>
        <w:rPr>
          <w:rFonts w:ascii="Arial" w:hAnsi="Arial" w:cs="Arial"/>
          <w:sz w:val="22"/>
          <w:szCs w:val="22"/>
        </w:rPr>
        <w:sectPr w:rsidR="00C72B82" w:rsidRPr="006F1EEC" w:rsidSect="000A133D">
          <w:headerReference w:type="default" r:id="rId10"/>
          <w:headerReference w:type="first" r:id="rId11"/>
          <w:footerReference w:type="first" r:id="rId12"/>
          <w:type w:val="oddPage"/>
          <w:pgSz w:w="11907" w:h="16834" w:code="9"/>
          <w:pgMar w:top="851" w:right="851" w:bottom="1134" w:left="1588" w:header="340" w:footer="680" w:gutter="0"/>
          <w:pgNumType w:fmt="lowerRoman"/>
          <w:cols w:space="720"/>
          <w:titlePg/>
          <w:docGrid w:linePitch="326"/>
        </w:sectPr>
      </w:pPr>
    </w:p>
    <w:p w14:paraId="3714DF9F" w14:textId="77777777" w:rsidR="0095369A" w:rsidRPr="006F1EEC" w:rsidRDefault="0095369A">
      <w:pPr>
        <w:pStyle w:val="NormalTabell"/>
        <w:rPr>
          <w:rFonts w:ascii="Arial" w:hAnsi="Arial" w:cs="Arial"/>
          <w:b/>
          <w:sz w:val="22"/>
          <w:szCs w:val="22"/>
        </w:rPr>
      </w:pPr>
    </w:p>
    <w:p w14:paraId="36D39F85" w14:textId="77777777" w:rsidR="003A62B1" w:rsidRPr="006F1EEC" w:rsidRDefault="003A62B1" w:rsidP="003A62B1">
      <w:pPr>
        <w:spacing w:before="40" w:after="40"/>
        <w:jc w:val="left"/>
        <w:rPr>
          <w:rFonts w:ascii="Arial" w:hAnsi="Arial" w:cs="Arial"/>
          <w:b/>
          <w:color w:val="000000" w:themeColor="text1"/>
          <w:sz w:val="22"/>
          <w:szCs w:val="22"/>
        </w:rPr>
      </w:pPr>
      <w:r w:rsidRPr="006F1EEC">
        <w:rPr>
          <w:rFonts w:ascii="Arial" w:hAnsi="Arial" w:cs="Arial"/>
          <w:b/>
          <w:color w:val="000000" w:themeColor="text1"/>
          <w:sz w:val="22"/>
          <w:szCs w:val="22"/>
        </w:rPr>
        <w:t>GENERAL INTRODUCTION</w:t>
      </w:r>
    </w:p>
    <w:p w14:paraId="213E9074" w14:textId="55749E0F" w:rsidR="003A62B1" w:rsidRPr="006F1EEC" w:rsidRDefault="009876E0" w:rsidP="00AC20DC">
      <w:r w:rsidRPr="006F1EEC">
        <w:t xml:space="preserve">This report </w:t>
      </w:r>
      <w:r w:rsidR="00D42C5E" w:rsidRPr="006F1EEC">
        <w:t>is the first deliverable for Work Package 3 of the VoGERA project</w:t>
      </w:r>
      <w:r w:rsidR="008C457A">
        <w:t xml:space="preserve"> (</w:t>
      </w:r>
      <w:r w:rsidR="008C457A" w:rsidRPr="008C457A">
        <w:t>Vulnerability of Shallow Groundwater Resources to Deep Sub-surface Energy</w:t>
      </w:r>
      <w:r w:rsidR="0072112C">
        <w:t xml:space="preserve"> </w:t>
      </w:r>
      <w:r w:rsidR="008C457A" w:rsidRPr="008C457A">
        <w:t>Related Activities</w:t>
      </w:r>
      <w:r w:rsidR="008C457A">
        <w:t>)</w:t>
      </w:r>
      <w:r w:rsidR="00D42C5E" w:rsidRPr="006F1EEC">
        <w:t xml:space="preserve">. This work package </w:t>
      </w:r>
      <w:r w:rsidR="008C457A">
        <w:t>seeks to better understand</w:t>
      </w:r>
      <w:r w:rsidR="00D42C5E" w:rsidRPr="006F1EEC">
        <w:t xml:space="preserve"> process</w:t>
      </w:r>
      <w:r w:rsidR="008C457A">
        <w:t>es and</w:t>
      </w:r>
      <w:r w:rsidR="00D42C5E" w:rsidRPr="006F1EEC">
        <w:t xml:space="preserve"> pathways </w:t>
      </w:r>
      <w:r w:rsidR="008C457A">
        <w:t>that may be associated with impacts</w:t>
      </w:r>
      <w:r w:rsidR="00D42C5E" w:rsidRPr="006F1EEC">
        <w:t xml:space="preserve"> on </w:t>
      </w:r>
      <w:r w:rsidR="008C457A">
        <w:t>ground</w:t>
      </w:r>
      <w:r w:rsidR="00D42C5E" w:rsidRPr="006F1EEC">
        <w:t>water resources from energy-related activities</w:t>
      </w:r>
      <w:r w:rsidR="008C457A" w:rsidRPr="006F1EEC">
        <w:t xml:space="preserve"> </w:t>
      </w:r>
      <w:r w:rsidR="008C457A">
        <w:t xml:space="preserve">in the </w:t>
      </w:r>
      <w:r w:rsidR="008C457A" w:rsidRPr="006F1EEC">
        <w:t>subsurface</w:t>
      </w:r>
      <w:r w:rsidR="00D42C5E" w:rsidRPr="006F1EEC">
        <w:t>. The report introduces the topic</w:t>
      </w:r>
      <w:r w:rsidR="008C457A">
        <w:t xml:space="preserve"> and </w:t>
      </w:r>
      <w:r w:rsidR="000F4CA3">
        <w:t>provides a literature review</w:t>
      </w:r>
      <w:r w:rsidR="008C457A">
        <w:t>. It</w:t>
      </w:r>
      <w:r w:rsidR="00D42C5E" w:rsidRPr="006F1EEC">
        <w:t xml:space="preserve"> </w:t>
      </w:r>
      <w:r w:rsidRPr="006F1EEC">
        <w:t>describes</w:t>
      </w:r>
      <w:r w:rsidR="00D42C5E" w:rsidRPr="006F1EEC">
        <w:t xml:space="preserve"> the pilot areas that will be used to evaluate possible pathways in detail for several geologic</w:t>
      </w:r>
      <w:r w:rsidR="008C457A">
        <w:t>al</w:t>
      </w:r>
      <w:r w:rsidR="00D42C5E" w:rsidRPr="006F1EEC">
        <w:t xml:space="preserve"> settings </w:t>
      </w:r>
      <w:r w:rsidR="008C457A">
        <w:t>across</w:t>
      </w:r>
      <w:r w:rsidR="00D42C5E" w:rsidRPr="006F1EEC">
        <w:t xml:space="preserve"> Europe</w:t>
      </w:r>
      <w:r w:rsidR="008C457A">
        <w:t xml:space="preserve">, identifies </w:t>
      </w:r>
      <w:r w:rsidR="002A1A81">
        <w:t xml:space="preserve">information gaps and </w:t>
      </w:r>
      <w:r w:rsidR="008C457A">
        <w:t xml:space="preserve">presents </w:t>
      </w:r>
      <w:r w:rsidR="002A1A81">
        <w:t>a data collection plan</w:t>
      </w:r>
      <w:r w:rsidR="008C457A">
        <w:t xml:space="preserve"> for the following phase of the work package</w:t>
      </w:r>
      <w:r w:rsidR="002A1A81">
        <w:t>.</w:t>
      </w:r>
      <w:r w:rsidRPr="006F1EEC">
        <w:t xml:space="preserve"> </w:t>
      </w:r>
    </w:p>
    <w:p w14:paraId="268D46AB" w14:textId="77777777" w:rsidR="003E3FB2" w:rsidRPr="006F1EEC" w:rsidRDefault="003E3FB2" w:rsidP="003E3FB2"/>
    <w:p w14:paraId="14DCD083" w14:textId="77777777" w:rsidR="003E3FB2" w:rsidRPr="006F1EEC" w:rsidRDefault="003E3FB2" w:rsidP="003E3FB2"/>
    <w:p w14:paraId="78388229" w14:textId="77777777" w:rsidR="003A62B1" w:rsidRPr="006F1EEC" w:rsidRDefault="003A62B1" w:rsidP="00F41176">
      <w:pPr>
        <w:spacing w:before="40" w:after="40"/>
        <w:jc w:val="left"/>
        <w:rPr>
          <w:rFonts w:ascii="Arial" w:hAnsi="Arial" w:cs="Arial"/>
          <w:b/>
          <w:color w:val="000000" w:themeColor="text1"/>
          <w:sz w:val="22"/>
          <w:szCs w:val="22"/>
        </w:rPr>
      </w:pPr>
      <w:r w:rsidRPr="006F1EEC">
        <w:rPr>
          <w:rFonts w:ascii="Arial" w:hAnsi="Arial" w:cs="Arial"/>
          <w:b/>
          <w:color w:val="000000" w:themeColor="text1"/>
          <w:sz w:val="22"/>
          <w:szCs w:val="22"/>
        </w:rPr>
        <w:br/>
      </w:r>
    </w:p>
    <w:p w14:paraId="5187A7A7" w14:textId="6BBAB583" w:rsidR="009876E0" w:rsidRPr="006F1EEC" w:rsidRDefault="003A62B1" w:rsidP="00360ACA">
      <w:pPr>
        <w:spacing w:before="40" w:after="40"/>
        <w:jc w:val="left"/>
      </w:pPr>
      <w:r w:rsidRPr="006F1EEC">
        <w:rPr>
          <w:rFonts w:ascii="Arial" w:hAnsi="Arial" w:cs="Arial"/>
          <w:b/>
          <w:color w:val="000000" w:themeColor="text1"/>
          <w:sz w:val="22"/>
          <w:szCs w:val="22"/>
        </w:rPr>
        <w:br/>
      </w:r>
    </w:p>
    <w:p w14:paraId="5C379A0B" w14:textId="7577AF03" w:rsidR="00360ACA" w:rsidRPr="006F1EEC" w:rsidRDefault="00360ACA">
      <w:pPr>
        <w:jc w:val="left"/>
      </w:pPr>
      <w:r w:rsidRPr="006F1EEC">
        <w:br w:type="page"/>
      </w:r>
    </w:p>
    <w:p w14:paraId="144AFD48" w14:textId="77777777" w:rsidR="00360ACA" w:rsidRPr="006F1EEC" w:rsidRDefault="00360ACA" w:rsidP="00360ACA">
      <w:pPr>
        <w:pStyle w:val="Overskrift1"/>
        <w:numPr>
          <w:ilvl w:val="0"/>
          <w:numId w:val="0"/>
        </w:numPr>
      </w:pPr>
      <w:bookmarkStart w:id="0" w:name="_Toc528591525"/>
      <w:bookmarkStart w:id="1" w:name="_Toc14425366"/>
      <w:r w:rsidRPr="006F1EEC">
        <w:lastRenderedPageBreak/>
        <w:t>List of abbreviations &amp; acronyms</w:t>
      </w:r>
      <w:bookmarkEnd w:id="0"/>
      <w:bookmarkEnd w:id="1"/>
    </w:p>
    <w:tbl>
      <w:tblPr>
        <w:tblStyle w:val="Tabel-Gitter"/>
        <w:tblW w:w="9322" w:type="dxa"/>
        <w:tblInd w:w="97" w:type="dxa"/>
        <w:tblLook w:val="04A0" w:firstRow="1" w:lastRow="0" w:firstColumn="1" w:lastColumn="0" w:noHBand="0" w:noVBand="1"/>
      </w:tblPr>
      <w:tblGrid>
        <w:gridCol w:w="1883"/>
        <w:gridCol w:w="7439"/>
      </w:tblGrid>
      <w:tr w:rsidR="00945FC2" w:rsidRPr="006F1EEC" w14:paraId="3768085D" w14:textId="77777777" w:rsidTr="00E85684">
        <w:tc>
          <w:tcPr>
            <w:tcW w:w="1883" w:type="dxa"/>
          </w:tcPr>
          <w:p w14:paraId="2C4CA007" w14:textId="77777777" w:rsidR="00945FC2" w:rsidRPr="006F1EEC" w:rsidRDefault="00945FC2" w:rsidP="009876E0">
            <w:pPr>
              <w:spacing w:before="122"/>
            </w:pPr>
          </w:p>
        </w:tc>
        <w:tc>
          <w:tcPr>
            <w:tcW w:w="7439" w:type="dxa"/>
          </w:tcPr>
          <w:p w14:paraId="12A3F7D9" w14:textId="77777777" w:rsidR="00945FC2" w:rsidRPr="006F1EEC" w:rsidRDefault="00945FC2" w:rsidP="009876E0">
            <w:pPr>
              <w:spacing w:before="122"/>
            </w:pPr>
          </w:p>
        </w:tc>
      </w:tr>
      <w:tr w:rsidR="00146E33" w:rsidRPr="006F1EEC" w14:paraId="62287BCC" w14:textId="77777777" w:rsidTr="00E85684">
        <w:tc>
          <w:tcPr>
            <w:tcW w:w="1883" w:type="dxa"/>
          </w:tcPr>
          <w:p w14:paraId="0C2BED64" w14:textId="52F0CDBF" w:rsidR="00146E33" w:rsidRPr="006F1EEC" w:rsidRDefault="00146E33" w:rsidP="009876E0">
            <w:pPr>
              <w:spacing w:before="122"/>
            </w:pPr>
            <w:r w:rsidRPr="006F1EEC">
              <w:t>BGS</w:t>
            </w:r>
          </w:p>
        </w:tc>
        <w:tc>
          <w:tcPr>
            <w:tcW w:w="7439" w:type="dxa"/>
          </w:tcPr>
          <w:p w14:paraId="0C3ED971" w14:textId="429DA3E4" w:rsidR="00146E33" w:rsidRPr="006F1EEC" w:rsidRDefault="00146E33" w:rsidP="009876E0">
            <w:pPr>
              <w:spacing w:before="122"/>
            </w:pPr>
            <w:r w:rsidRPr="006F1EEC">
              <w:t>British Geological Survey (</w:t>
            </w:r>
            <w:r w:rsidR="00AC20DC" w:rsidRPr="006F1EEC">
              <w:t xml:space="preserve">part of </w:t>
            </w:r>
            <w:r w:rsidR="008C457A">
              <w:t>UKRI</w:t>
            </w:r>
            <w:r w:rsidRPr="006F1EEC">
              <w:t>)</w:t>
            </w:r>
          </w:p>
        </w:tc>
      </w:tr>
      <w:tr w:rsidR="00E85684" w:rsidRPr="006F1EEC" w14:paraId="18871467" w14:textId="77777777" w:rsidTr="00E85684">
        <w:tc>
          <w:tcPr>
            <w:tcW w:w="1883" w:type="dxa"/>
          </w:tcPr>
          <w:p w14:paraId="406D58BF" w14:textId="1126615A" w:rsidR="00E85684" w:rsidRPr="006F1EEC" w:rsidRDefault="00E85684" w:rsidP="009876E0">
            <w:pPr>
              <w:spacing w:before="122"/>
            </w:pPr>
            <w:r w:rsidRPr="006F1EEC">
              <w:t>DINO</w:t>
            </w:r>
          </w:p>
        </w:tc>
        <w:tc>
          <w:tcPr>
            <w:tcW w:w="7439" w:type="dxa"/>
          </w:tcPr>
          <w:p w14:paraId="3DF26E87" w14:textId="70B63159" w:rsidR="00E85684" w:rsidRPr="006F1EEC" w:rsidRDefault="00E85684" w:rsidP="009876E0">
            <w:pPr>
              <w:spacing w:before="122"/>
            </w:pPr>
            <w:r w:rsidRPr="006F1EEC">
              <w:t>National database of information on the shallow Dutch subsurface (available at: http://www.dinoloket.nl)</w:t>
            </w:r>
          </w:p>
        </w:tc>
      </w:tr>
      <w:tr w:rsidR="00146E33" w:rsidRPr="006F1EEC" w14:paraId="729BE4CB" w14:textId="77777777" w:rsidTr="00E85684">
        <w:tc>
          <w:tcPr>
            <w:tcW w:w="1883" w:type="dxa"/>
          </w:tcPr>
          <w:p w14:paraId="46222058" w14:textId="7DA868A8" w:rsidR="00146E33" w:rsidRPr="006F1EEC" w:rsidRDefault="00146E33" w:rsidP="009876E0">
            <w:pPr>
              <w:spacing w:before="122"/>
            </w:pPr>
            <w:r w:rsidRPr="006F1EEC">
              <w:t>DMP</w:t>
            </w:r>
          </w:p>
        </w:tc>
        <w:tc>
          <w:tcPr>
            <w:tcW w:w="7439" w:type="dxa"/>
          </w:tcPr>
          <w:p w14:paraId="263FA4A4" w14:textId="40C3F5FC" w:rsidR="00146E33" w:rsidRPr="006F1EEC" w:rsidRDefault="00146E33" w:rsidP="009876E0">
            <w:pPr>
              <w:spacing w:before="122"/>
            </w:pPr>
            <w:r w:rsidRPr="006F1EEC">
              <w:t>Data Management Plan</w:t>
            </w:r>
          </w:p>
        </w:tc>
      </w:tr>
      <w:tr w:rsidR="00146E33" w:rsidRPr="006F1EEC" w14:paraId="37A62D3C" w14:textId="77777777" w:rsidTr="00E85684">
        <w:tc>
          <w:tcPr>
            <w:tcW w:w="1883" w:type="dxa"/>
          </w:tcPr>
          <w:p w14:paraId="61A528F2" w14:textId="4E4467C3" w:rsidR="00146E33" w:rsidRPr="006F1EEC" w:rsidRDefault="00146E33" w:rsidP="009876E0">
            <w:pPr>
              <w:spacing w:before="122"/>
            </w:pPr>
            <w:r w:rsidRPr="006F1EEC">
              <w:t>EGDI</w:t>
            </w:r>
          </w:p>
        </w:tc>
        <w:tc>
          <w:tcPr>
            <w:tcW w:w="7439" w:type="dxa"/>
          </w:tcPr>
          <w:p w14:paraId="1820A6A8" w14:textId="38C08F40" w:rsidR="00146E33" w:rsidRPr="006F1EEC" w:rsidRDefault="00146E33" w:rsidP="009876E0">
            <w:pPr>
              <w:spacing w:before="122"/>
            </w:pPr>
            <w:r w:rsidRPr="006F1EEC">
              <w:t>European Geological Data Infrastructure</w:t>
            </w:r>
          </w:p>
        </w:tc>
      </w:tr>
      <w:tr w:rsidR="00146E33" w:rsidRPr="006F1EEC" w14:paraId="75D660B0" w14:textId="77777777" w:rsidTr="00E85684">
        <w:tc>
          <w:tcPr>
            <w:tcW w:w="1883" w:type="dxa"/>
          </w:tcPr>
          <w:p w14:paraId="7D222518" w14:textId="36B951F3" w:rsidR="00146E33" w:rsidRPr="006F1EEC" w:rsidRDefault="00AC20DC" w:rsidP="009876E0">
            <w:pPr>
              <w:spacing w:before="122"/>
            </w:pPr>
            <w:r w:rsidRPr="006F1EEC">
              <w:t>GSO</w:t>
            </w:r>
          </w:p>
        </w:tc>
        <w:tc>
          <w:tcPr>
            <w:tcW w:w="7439" w:type="dxa"/>
          </w:tcPr>
          <w:p w14:paraId="21F602CE" w14:textId="7E89B23D" w:rsidR="00146E33" w:rsidRPr="006F1EEC" w:rsidRDefault="00AC20DC" w:rsidP="009876E0">
            <w:pPr>
              <w:spacing w:before="122"/>
            </w:pPr>
            <w:r w:rsidRPr="006F1EEC">
              <w:t>Geological Survey Organisation</w:t>
            </w:r>
          </w:p>
        </w:tc>
      </w:tr>
      <w:tr w:rsidR="00146E33" w:rsidRPr="006F1EEC" w14:paraId="049F54D0" w14:textId="77777777" w:rsidTr="00E85684">
        <w:tc>
          <w:tcPr>
            <w:tcW w:w="1883" w:type="dxa"/>
          </w:tcPr>
          <w:p w14:paraId="266E7429" w14:textId="003974A9" w:rsidR="00146E33" w:rsidRPr="006F1EEC" w:rsidRDefault="00146E33" w:rsidP="009876E0">
            <w:pPr>
              <w:spacing w:before="122"/>
            </w:pPr>
            <w:r w:rsidRPr="006F1EEC">
              <w:t>MBFSZ</w:t>
            </w:r>
          </w:p>
        </w:tc>
        <w:tc>
          <w:tcPr>
            <w:tcW w:w="7439" w:type="dxa"/>
          </w:tcPr>
          <w:p w14:paraId="766B1206" w14:textId="6299BE3E" w:rsidR="00146E33" w:rsidRPr="006F1EEC" w:rsidRDefault="004C32FC" w:rsidP="004C32FC">
            <w:pPr>
              <w:spacing w:before="122"/>
            </w:pPr>
            <w:r w:rsidRPr="004C32FC">
              <w:t>Magyar Bányászati és Földtani Szolgálat</w:t>
            </w:r>
            <w:r>
              <w:t xml:space="preserve"> (</w:t>
            </w:r>
            <w:r w:rsidR="00AC20DC" w:rsidRPr="006F1EEC">
              <w:t>Mining and Geological Survey of</w:t>
            </w:r>
            <w:r>
              <w:t xml:space="preserve"> </w:t>
            </w:r>
            <w:r w:rsidR="00AC20DC" w:rsidRPr="006F1EEC">
              <w:t>Hungary)</w:t>
            </w:r>
          </w:p>
        </w:tc>
      </w:tr>
      <w:tr w:rsidR="00E85684" w:rsidRPr="006F1EEC" w14:paraId="12046F51" w14:textId="77777777" w:rsidTr="00E85684">
        <w:tc>
          <w:tcPr>
            <w:tcW w:w="1883" w:type="dxa"/>
          </w:tcPr>
          <w:p w14:paraId="08CF4CE3" w14:textId="4F2F234F" w:rsidR="00E85684" w:rsidRPr="006F1EEC" w:rsidRDefault="00E85684" w:rsidP="009876E0">
            <w:pPr>
              <w:spacing w:before="122"/>
            </w:pPr>
            <w:r w:rsidRPr="006F1EEC">
              <w:t>NLOG</w:t>
            </w:r>
          </w:p>
        </w:tc>
        <w:tc>
          <w:tcPr>
            <w:tcW w:w="7439" w:type="dxa"/>
          </w:tcPr>
          <w:p w14:paraId="13C54568" w14:textId="50C76CD1" w:rsidR="00E85684" w:rsidRPr="006F1EEC" w:rsidRDefault="00E85684" w:rsidP="00AC20DC">
            <w:pPr>
              <w:spacing w:before="122"/>
            </w:pPr>
            <w:r w:rsidRPr="006F1EEC">
              <w:t>National database of information on the deep Dutch subsurface (available at: http://www.nlog.nl)</w:t>
            </w:r>
          </w:p>
        </w:tc>
      </w:tr>
      <w:tr w:rsidR="00146E33" w:rsidRPr="006F1EEC" w14:paraId="094F0E53" w14:textId="77777777" w:rsidTr="00E85684">
        <w:tc>
          <w:tcPr>
            <w:tcW w:w="1883" w:type="dxa"/>
          </w:tcPr>
          <w:p w14:paraId="53CF3527" w14:textId="2B068989" w:rsidR="00146E33" w:rsidRPr="006F1EEC" w:rsidRDefault="00146E33" w:rsidP="009876E0">
            <w:pPr>
              <w:spacing w:before="122"/>
            </w:pPr>
            <w:r w:rsidRPr="006F1EEC">
              <w:t>SCK●CEN</w:t>
            </w:r>
          </w:p>
        </w:tc>
        <w:tc>
          <w:tcPr>
            <w:tcW w:w="7439" w:type="dxa"/>
          </w:tcPr>
          <w:p w14:paraId="4F36EDD6" w14:textId="6EFC2DA0" w:rsidR="00146E33" w:rsidRPr="006F1EEC" w:rsidRDefault="00146E33" w:rsidP="009876E0">
            <w:pPr>
              <w:spacing w:before="122"/>
            </w:pPr>
            <w:r w:rsidRPr="006F1EEC">
              <w:t>Belgian Nuclear Research Centre</w:t>
            </w:r>
          </w:p>
        </w:tc>
      </w:tr>
      <w:tr w:rsidR="00AC20DC" w:rsidRPr="006F1EEC" w14:paraId="3B8FA27C" w14:textId="77777777" w:rsidTr="00E85684">
        <w:tc>
          <w:tcPr>
            <w:tcW w:w="1883" w:type="dxa"/>
          </w:tcPr>
          <w:p w14:paraId="65BEDCC6" w14:textId="10594704" w:rsidR="00AC20DC" w:rsidRPr="006F1EEC" w:rsidRDefault="00AC20DC" w:rsidP="009876E0">
            <w:pPr>
              <w:spacing w:before="122"/>
            </w:pPr>
            <w:r w:rsidRPr="006F1EEC">
              <w:t>TNO-GSN</w:t>
            </w:r>
          </w:p>
        </w:tc>
        <w:tc>
          <w:tcPr>
            <w:tcW w:w="7439" w:type="dxa"/>
          </w:tcPr>
          <w:p w14:paraId="66288553" w14:textId="2CD89A7F" w:rsidR="00AC20DC" w:rsidRPr="006F1EEC" w:rsidRDefault="00AC20DC" w:rsidP="009876E0">
            <w:pPr>
              <w:spacing w:before="122"/>
            </w:pPr>
            <w:r w:rsidRPr="006F1EEC">
              <w:t>Geological Survey of the Netherlands (part of TNO)</w:t>
            </w:r>
          </w:p>
        </w:tc>
      </w:tr>
      <w:tr w:rsidR="00146E33" w:rsidRPr="00522604" w14:paraId="2FDC74DF" w14:textId="77777777" w:rsidTr="00E85684">
        <w:tc>
          <w:tcPr>
            <w:tcW w:w="1883" w:type="dxa"/>
          </w:tcPr>
          <w:p w14:paraId="38E548FD" w14:textId="34D717B3" w:rsidR="00146E33" w:rsidRPr="006F1EEC" w:rsidRDefault="00146E33" w:rsidP="009876E0">
            <w:pPr>
              <w:spacing w:before="122"/>
            </w:pPr>
            <w:r w:rsidRPr="006F1EEC">
              <w:t>VMM</w:t>
            </w:r>
          </w:p>
        </w:tc>
        <w:tc>
          <w:tcPr>
            <w:tcW w:w="7439" w:type="dxa"/>
          </w:tcPr>
          <w:p w14:paraId="4F2DECA6" w14:textId="06CC844D" w:rsidR="00146E33" w:rsidRPr="00790DED" w:rsidRDefault="00146E33" w:rsidP="009876E0">
            <w:pPr>
              <w:spacing w:before="122"/>
              <w:rPr>
                <w:lang w:val="nl-NL"/>
              </w:rPr>
            </w:pPr>
            <w:r w:rsidRPr="00790DED">
              <w:rPr>
                <w:lang w:val="nl-NL"/>
              </w:rPr>
              <w:t>Vlaamse Milieu Maatschappij (Flanders Environment Agency)</w:t>
            </w:r>
          </w:p>
        </w:tc>
      </w:tr>
      <w:tr w:rsidR="00146E33" w:rsidRPr="006F1EEC" w14:paraId="66361EE0" w14:textId="77777777" w:rsidTr="00E85684">
        <w:tc>
          <w:tcPr>
            <w:tcW w:w="1883" w:type="dxa"/>
          </w:tcPr>
          <w:p w14:paraId="377C5D50" w14:textId="668BA916" w:rsidR="00146E33" w:rsidRPr="006F1EEC" w:rsidRDefault="00146E33" w:rsidP="009876E0">
            <w:pPr>
              <w:spacing w:before="122"/>
            </w:pPr>
            <w:r w:rsidRPr="006F1EEC">
              <w:t>VoGERA</w:t>
            </w:r>
          </w:p>
        </w:tc>
        <w:tc>
          <w:tcPr>
            <w:tcW w:w="7439" w:type="dxa"/>
          </w:tcPr>
          <w:p w14:paraId="391498C9" w14:textId="56F5C710" w:rsidR="00146E33" w:rsidRPr="006F1EEC" w:rsidRDefault="00146E33" w:rsidP="009876E0">
            <w:pPr>
              <w:spacing w:before="122"/>
            </w:pPr>
            <w:r w:rsidRPr="006F1EEC">
              <w:t xml:space="preserve">Vulnerability of </w:t>
            </w:r>
            <w:r w:rsidR="008C457A">
              <w:t>s</w:t>
            </w:r>
            <w:r w:rsidRPr="006F1EEC">
              <w:t xml:space="preserve">hallow Groundwater </w:t>
            </w:r>
            <w:r w:rsidR="008C457A">
              <w:t>r</w:t>
            </w:r>
            <w:r w:rsidRPr="006F1EEC">
              <w:t xml:space="preserve">esources to </w:t>
            </w:r>
            <w:r w:rsidR="008C457A">
              <w:t>d</w:t>
            </w:r>
            <w:r w:rsidRPr="006F1EEC">
              <w:t xml:space="preserve">eep </w:t>
            </w:r>
            <w:r w:rsidR="008C457A">
              <w:t>s</w:t>
            </w:r>
            <w:r w:rsidRPr="006F1EEC">
              <w:t>ub-surface Energy</w:t>
            </w:r>
            <w:r w:rsidR="008C457A">
              <w:t>-</w:t>
            </w:r>
            <w:r w:rsidRPr="006F1EEC">
              <w:t>Related Activities</w:t>
            </w:r>
          </w:p>
        </w:tc>
      </w:tr>
      <w:tr w:rsidR="00146E33" w:rsidRPr="006F1EEC" w14:paraId="2930DF3C" w14:textId="77777777" w:rsidTr="00E85684">
        <w:tc>
          <w:tcPr>
            <w:tcW w:w="1883" w:type="dxa"/>
          </w:tcPr>
          <w:p w14:paraId="454B58A2" w14:textId="77C1F2C7" w:rsidR="00146E33" w:rsidRPr="006F1EEC" w:rsidRDefault="00146E33" w:rsidP="009876E0">
            <w:pPr>
              <w:spacing w:before="122"/>
            </w:pPr>
          </w:p>
        </w:tc>
        <w:tc>
          <w:tcPr>
            <w:tcW w:w="7439" w:type="dxa"/>
          </w:tcPr>
          <w:p w14:paraId="76940FD9" w14:textId="7CA2FD90" w:rsidR="00146E33" w:rsidRPr="006F1EEC" w:rsidRDefault="00146E33" w:rsidP="009876E0">
            <w:pPr>
              <w:spacing w:before="122"/>
            </w:pPr>
          </w:p>
        </w:tc>
      </w:tr>
    </w:tbl>
    <w:p w14:paraId="0B81EFBE" w14:textId="190D7194" w:rsidR="00360ACA" w:rsidRPr="006F1EEC" w:rsidRDefault="00360ACA" w:rsidP="009876E0">
      <w:pPr>
        <w:spacing w:before="122"/>
        <w:ind w:left="97"/>
      </w:pPr>
    </w:p>
    <w:p w14:paraId="33CB0A0A" w14:textId="77777777" w:rsidR="00360ACA" w:rsidRPr="006F1EEC" w:rsidRDefault="00360ACA">
      <w:pPr>
        <w:jc w:val="left"/>
      </w:pPr>
      <w:r w:rsidRPr="006F1EEC">
        <w:br w:type="page"/>
      </w:r>
    </w:p>
    <w:p w14:paraId="6AE26BCA" w14:textId="77777777" w:rsidR="00360ACA" w:rsidRPr="006F1EEC" w:rsidRDefault="00360ACA" w:rsidP="00360ACA">
      <w:pPr>
        <w:rPr>
          <w:rFonts w:ascii="Arial" w:hAnsi="Arial" w:cs="Arial"/>
          <w:b/>
          <w:sz w:val="22"/>
          <w:szCs w:val="22"/>
        </w:rPr>
      </w:pPr>
      <w:r w:rsidRPr="006F1EEC">
        <w:rPr>
          <w:rFonts w:ascii="Arial" w:hAnsi="Arial" w:cs="Arial"/>
          <w:b/>
          <w:sz w:val="22"/>
          <w:szCs w:val="22"/>
        </w:rPr>
        <w:t>TABLE OF CONTENTS</w:t>
      </w:r>
    </w:p>
    <w:p w14:paraId="1AB9D127" w14:textId="56D03135" w:rsidR="008B0B95" w:rsidRDefault="00604EA0">
      <w:pPr>
        <w:pStyle w:val="Indholdsfortegnelse1"/>
        <w:rPr>
          <w:rFonts w:asciiTheme="minorHAnsi" w:eastAsiaTheme="minorEastAsia" w:hAnsiTheme="minorHAnsi" w:cstheme="minorBidi"/>
          <w:caps w:val="0"/>
          <w:sz w:val="22"/>
          <w:szCs w:val="22"/>
          <w:lang w:val="en-GB" w:eastAsia="en-GB"/>
        </w:rPr>
      </w:pPr>
      <w:r>
        <w:rPr>
          <w:rFonts w:ascii="Arial" w:hAnsi="Arial" w:cs="Arial"/>
          <w:caps w:val="0"/>
          <w:szCs w:val="22"/>
          <w:lang w:val="en-GB"/>
        </w:rPr>
        <w:fldChar w:fldCharType="begin"/>
      </w:r>
      <w:r>
        <w:rPr>
          <w:rFonts w:ascii="Arial" w:hAnsi="Arial" w:cs="Arial"/>
          <w:caps w:val="0"/>
          <w:szCs w:val="22"/>
          <w:lang w:val="en-GB"/>
        </w:rPr>
        <w:instrText xml:space="preserve"> TOC \o "1-2" \h \z \u </w:instrText>
      </w:r>
      <w:r>
        <w:rPr>
          <w:rFonts w:ascii="Arial" w:hAnsi="Arial" w:cs="Arial"/>
          <w:caps w:val="0"/>
          <w:szCs w:val="22"/>
          <w:lang w:val="en-GB"/>
        </w:rPr>
        <w:fldChar w:fldCharType="separate"/>
      </w:r>
      <w:hyperlink w:anchor="_Toc14425366" w:history="1">
        <w:r w:rsidR="008B0B95" w:rsidRPr="00565C2A">
          <w:rPr>
            <w:rStyle w:val="Hyperlink"/>
          </w:rPr>
          <w:t>List of abbreviations &amp; acronyms</w:t>
        </w:r>
        <w:r w:rsidR="008B0B95">
          <w:rPr>
            <w:webHidden/>
          </w:rPr>
          <w:tab/>
        </w:r>
        <w:r w:rsidR="008B0B95">
          <w:rPr>
            <w:webHidden/>
          </w:rPr>
          <w:fldChar w:fldCharType="begin"/>
        </w:r>
        <w:r w:rsidR="008B0B95">
          <w:rPr>
            <w:webHidden/>
          </w:rPr>
          <w:instrText xml:space="preserve"> PAGEREF _Toc14425366 \h </w:instrText>
        </w:r>
        <w:r w:rsidR="008B0B95">
          <w:rPr>
            <w:webHidden/>
          </w:rPr>
        </w:r>
        <w:r w:rsidR="008B0B95">
          <w:rPr>
            <w:webHidden/>
          </w:rPr>
          <w:fldChar w:fldCharType="separate"/>
        </w:r>
        <w:r w:rsidR="008B0B95">
          <w:rPr>
            <w:webHidden/>
          </w:rPr>
          <w:t>4</w:t>
        </w:r>
        <w:r w:rsidR="008B0B95">
          <w:rPr>
            <w:webHidden/>
          </w:rPr>
          <w:fldChar w:fldCharType="end"/>
        </w:r>
      </w:hyperlink>
    </w:p>
    <w:p w14:paraId="659990C5" w14:textId="31FBF5F3" w:rsidR="008B0B95" w:rsidRDefault="00C91DB6">
      <w:pPr>
        <w:pStyle w:val="Indholdsfortegnelse1"/>
        <w:rPr>
          <w:rFonts w:asciiTheme="minorHAnsi" w:eastAsiaTheme="minorEastAsia" w:hAnsiTheme="minorHAnsi" w:cstheme="minorBidi"/>
          <w:caps w:val="0"/>
          <w:sz w:val="22"/>
          <w:szCs w:val="22"/>
          <w:lang w:val="en-GB" w:eastAsia="en-GB"/>
        </w:rPr>
      </w:pPr>
      <w:hyperlink w:anchor="_Toc14425367" w:history="1">
        <w:r w:rsidR="008B0B95" w:rsidRPr="00565C2A">
          <w:rPr>
            <w:rStyle w:val="Hyperlink"/>
          </w:rPr>
          <w:t>0</w:t>
        </w:r>
        <w:r w:rsidR="008B0B95">
          <w:rPr>
            <w:rFonts w:asciiTheme="minorHAnsi" w:eastAsiaTheme="minorEastAsia" w:hAnsiTheme="minorHAnsi" w:cstheme="minorBidi"/>
            <w:caps w:val="0"/>
            <w:sz w:val="22"/>
            <w:szCs w:val="22"/>
            <w:lang w:val="en-GB" w:eastAsia="en-GB"/>
          </w:rPr>
          <w:tab/>
        </w:r>
        <w:r w:rsidR="008B0B95" w:rsidRPr="00565C2A">
          <w:rPr>
            <w:rStyle w:val="Hyperlink"/>
          </w:rPr>
          <w:t>Introduction</w:t>
        </w:r>
        <w:r w:rsidR="008B0B95">
          <w:rPr>
            <w:webHidden/>
          </w:rPr>
          <w:tab/>
        </w:r>
        <w:r w:rsidR="008B0B95">
          <w:rPr>
            <w:webHidden/>
          </w:rPr>
          <w:fldChar w:fldCharType="begin"/>
        </w:r>
        <w:r w:rsidR="008B0B95">
          <w:rPr>
            <w:webHidden/>
          </w:rPr>
          <w:instrText xml:space="preserve"> PAGEREF _Toc14425367 \h </w:instrText>
        </w:r>
        <w:r w:rsidR="008B0B95">
          <w:rPr>
            <w:webHidden/>
          </w:rPr>
        </w:r>
        <w:r w:rsidR="008B0B95">
          <w:rPr>
            <w:webHidden/>
          </w:rPr>
          <w:fldChar w:fldCharType="separate"/>
        </w:r>
        <w:r w:rsidR="008B0B95">
          <w:rPr>
            <w:webHidden/>
          </w:rPr>
          <w:t>7</w:t>
        </w:r>
        <w:r w:rsidR="008B0B95">
          <w:rPr>
            <w:webHidden/>
          </w:rPr>
          <w:fldChar w:fldCharType="end"/>
        </w:r>
      </w:hyperlink>
    </w:p>
    <w:p w14:paraId="4F53B9F8" w14:textId="19B8CDD9" w:rsidR="008B0B95" w:rsidRDefault="00C91DB6">
      <w:pPr>
        <w:pStyle w:val="Indholdsfortegnelse1"/>
        <w:rPr>
          <w:rFonts w:asciiTheme="minorHAnsi" w:eastAsiaTheme="minorEastAsia" w:hAnsiTheme="minorHAnsi" w:cstheme="minorBidi"/>
          <w:caps w:val="0"/>
          <w:sz w:val="22"/>
          <w:szCs w:val="22"/>
          <w:lang w:val="en-GB" w:eastAsia="en-GB"/>
        </w:rPr>
      </w:pPr>
      <w:hyperlink w:anchor="_Toc14425368" w:history="1">
        <w:r w:rsidR="008B0B95" w:rsidRPr="00565C2A">
          <w:rPr>
            <w:rStyle w:val="Hyperlink"/>
          </w:rPr>
          <w:t>1</w:t>
        </w:r>
        <w:r w:rsidR="008B0B95">
          <w:rPr>
            <w:rFonts w:asciiTheme="minorHAnsi" w:eastAsiaTheme="minorEastAsia" w:hAnsiTheme="minorHAnsi" w:cstheme="minorBidi"/>
            <w:caps w:val="0"/>
            <w:sz w:val="22"/>
            <w:szCs w:val="22"/>
            <w:lang w:val="en-GB" w:eastAsia="en-GB"/>
          </w:rPr>
          <w:tab/>
        </w:r>
        <w:r w:rsidR="008B0B95" w:rsidRPr="00565C2A">
          <w:rPr>
            <w:rStyle w:val="Hyperlink"/>
          </w:rPr>
          <w:t>Scope</w:t>
        </w:r>
        <w:r w:rsidR="008B0B95">
          <w:rPr>
            <w:webHidden/>
          </w:rPr>
          <w:tab/>
        </w:r>
        <w:r w:rsidR="008B0B95">
          <w:rPr>
            <w:webHidden/>
          </w:rPr>
          <w:fldChar w:fldCharType="begin"/>
        </w:r>
        <w:r w:rsidR="008B0B95">
          <w:rPr>
            <w:webHidden/>
          </w:rPr>
          <w:instrText xml:space="preserve"> PAGEREF _Toc14425368 \h </w:instrText>
        </w:r>
        <w:r w:rsidR="008B0B95">
          <w:rPr>
            <w:webHidden/>
          </w:rPr>
        </w:r>
        <w:r w:rsidR="008B0B95">
          <w:rPr>
            <w:webHidden/>
          </w:rPr>
          <w:fldChar w:fldCharType="separate"/>
        </w:r>
        <w:r w:rsidR="008B0B95">
          <w:rPr>
            <w:webHidden/>
          </w:rPr>
          <w:t>8</w:t>
        </w:r>
        <w:r w:rsidR="008B0B95">
          <w:rPr>
            <w:webHidden/>
          </w:rPr>
          <w:fldChar w:fldCharType="end"/>
        </w:r>
      </w:hyperlink>
    </w:p>
    <w:p w14:paraId="5A124838" w14:textId="73ECC64F" w:rsidR="008B0B95" w:rsidRDefault="00C91DB6">
      <w:pPr>
        <w:pStyle w:val="Indholdsfortegnelse1"/>
        <w:rPr>
          <w:rFonts w:asciiTheme="minorHAnsi" w:eastAsiaTheme="minorEastAsia" w:hAnsiTheme="minorHAnsi" w:cstheme="minorBidi"/>
          <w:caps w:val="0"/>
          <w:sz w:val="22"/>
          <w:szCs w:val="22"/>
          <w:lang w:val="en-GB" w:eastAsia="en-GB"/>
        </w:rPr>
      </w:pPr>
      <w:hyperlink w:anchor="_Toc14425369" w:history="1">
        <w:r w:rsidR="008B0B95" w:rsidRPr="00565C2A">
          <w:rPr>
            <w:rStyle w:val="Hyperlink"/>
          </w:rPr>
          <w:t>2</w:t>
        </w:r>
        <w:r w:rsidR="008B0B95">
          <w:rPr>
            <w:rFonts w:asciiTheme="minorHAnsi" w:eastAsiaTheme="minorEastAsia" w:hAnsiTheme="minorHAnsi" w:cstheme="minorBidi"/>
            <w:caps w:val="0"/>
            <w:sz w:val="22"/>
            <w:szCs w:val="22"/>
            <w:lang w:val="en-GB" w:eastAsia="en-GB"/>
          </w:rPr>
          <w:tab/>
        </w:r>
        <w:r w:rsidR="008B0B95" w:rsidRPr="00565C2A">
          <w:rPr>
            <w:rStyle w:val="Hyperlink"/>
          </w:rPr>
          <w:t>Definitions</w:t>
        </w:r>
        <w:r w:rsidR="008B0B95">
          <w:rPr>
            <w:webHidden/>
          </w:rPr>
          <w:tab/>
        </w:r>
        <w:r w:rsidR="008B0B95">
          <w:rPr>
            <w:webHidden/>
          </w:rPr>
          <w:fldChar w:fldCharType="begin"/>
        </w:r>
        <w:r w:rsidR="008B0B95">
          <w:rPr>
            <w:webHidden/>
          </w:rPr>
          <w:instrText xml:space="preserve"> PAGEREF _Toc14425369 \h </w:instrText>
        </w:r>
        <w:r w:rsidR="008B0B95">
          <w:rPr>
            <w:webHidden/>
          </w:rPr>
        </w:r>
        <w:r w:rsidR="008B0B95">
          <w:rPr>
            <w:webHidden/>
          </w:rPr>
          <w:fldChar w:fldCharType="separate"/>
        </w:r>
        <w:r w:rsidR="008B0B95">
          <w:rPr>
            <w:webHidden/>
          </w:rPr>
          <w:t>9</w:t>
        </w:r>
        <w:r w:rsidR="008B0B95">
          <w:rPr>
            <w:webHidden/>
          </w:rPr>
          <w:fldChar w:fldCharType="end"/>
        </w:r>
      </w:hyperlink>
    </w:p>
    <w:p w14:paraId="0A69601E" w14:textId="2396DC9B" w:rsidR="008B0B95" w:rsidRDefault="00C91DB6">
      <w:pPr>
        <w:pStyle w:val="Indholdsfortegnelse1"/>
        <w:rPr>
          <w:rFonts w:asciiTheme="minorHAnsi" w:eastAsiaTheme="minorEastAsia" w:hAnsiTheme="minorHAnsi" w:cstheme="minorBidi"/>
          <w:caps w:val="0"/>
          <w:sz w:val="22"/>
          <w:szCs w:val="22"/>
          <w:lang w:val="en-GB" w:eastAsia="en-GB"/>
        </w:rPr>
      </w:pPr>
      <w:hyperlink w:anchor="_Toc14425370" w:history="1">
        <w:r w:rsidR="008B0B95" w:rsidRPr="00565C2A">
          <w:rPr>
            <w:rStyle w:val="Hyperlink"/>
          </w:rPr>
          <w:t>3</w:t>
        </w:r>
        <w:r w:rsidR="008B0B95">
          <w:rPr>
            <w:rFonts w:asciiTheme="minorHAnsi" w:eastAsiaTheme="minorEastAsia" w:hAnsiTheme="minorHAnsi" w:cstheme="minorBidi"/>
            <w:caps w:val="0"/>
            <w:sz w:val="22"/>
            <w:szCs w:val="22"/>
            <w:lang w:val="en-GB" w:eastAsia="en-GB"/>
          </w:rPr>
          <w:tab/>
        </w:r>
        <w:r w:rsidR="008B0B95" w:rsidRPr="00565C2A">
          <w:rPr>
            <w:rStyle w:val="Hyperlink"/>
          </w:rPr>
          <w:t>Relevant processes and pathways</w:t>
        </w:r>
        <w:r w:rsidR="008B0B95">
          <w:rPr>
            <w:webHidden/>
          </w:rPr>
          <w:tab/>
        </w:r>
        <w:r w:rsidR="008B0B95">
          <w:rPr>
            <w:webHidden/>
          </w:rPr>
          <w:fldChar w:fldCharType="begin"/>
        </w:r>
        <w:r w:rsidR="008B0B95">
          <w:rPr>
            <w:webHidden/>
          </w:rPr>
          <w:instrText xml:space="preserve"> PAGEREF _Toc14425370 \h </w:instrText>
        </w:r>
        <w:r w:rsidR="008B0B95">
          <w:rPr>
            <w:webHidden/>
          </w:rPr>
        </w:r>
        <w:r w:rsidR="008B0B95">
          <w:rPr>
            <w:webHidden/>
          </w:rPr>
          <w:fldChar w:fldCharType="separate"/>
        </w:r>
        <w:r w:rsidR="008B0B95">
          <w:rPr>
            <w:webHidden/>
          </w:rPr>
          <w:t>10</w:t>
        </w:r>
        <w:r w:rsidR="008B0B95">
          <w:rPr>
            <w:webHidden/>
          </w:rPr>
          <w:fldChar w:fldCharType="end"/>
        </w:r>
      </w:hyperlink>
    </w:p>
    <w:p w14:paraId="0799153A" w14:textId="58C8765E" w:rsidR="008B0B95" w:rsidRDefault="00C91DB6">
      <w:pPr>
        <w:pStyle w:val="Indholdsfortegnelse2"/>
        <w:rPr>
          <w:rFonts w:asciiTheme="minorHAnsi" w:eastAsiaTheme="minorEastAsia" w:hAnsiTheme="minorHAnsi" w:cstheme="minorBidi"/>
          <w:sz w:val="22"/>
          <w:szCs w:val="22"/>
          <w:lang w:val="en-GB" w:eastAsia="en-GB"/>
        </w:rPr>
      </w:pPr>
      <w:hyperlink w:anchor="_Toc14425371" w:history="1">
        <w:r w:rsidR="008B0B95" w:rsidRPr="00565C2A">
          <w:rPr>
            <w:rStyle w:val="Hyperlink"/>
          </w:rPr>
          <w:t>3.1</w:t>
        </w:r>
        <w:r w:rsidR="008B0B95">
          <w:rPr>
            <w:rFonts w:asciiTheme="minorHAnsi" w:eastAsiaTheme="minorEastAsia" w:hAnsiTheme="minorHAnsi" w:cstheme="minorBidi"/>
            <w:sz w:val="22"/>
            <w:szCs w:val="22"/>
            <w:lang w:val="en-GB" w:eastAsia="en-GB"/>
          </w:rPr>
          <w:tab/>
        </w:r>
        <w:r w:rsidR="008B0B95" w:rsidRPr="00565C2A">
          <w:rPr>
            <w:rStyle w:val="Hyperlink"/>
          </w:rPr>
          <w:t>Introduction</w:t>
        </w:r>
        <w:r w:rsidR="008B0B95">
          <w:rPr>
            <w:webHidden/>
          </w:rPr>
          <w:tab/>
        </w:r>
        <w:r w:rsidR="008B0B95">
          <w:rPr>
            <w:webHidden/>
          </w:rPr>
          <w:fldChar w:fldCharType="begin"/>
        </w:r>
        <w:r w:rsidR="008B0B95">
          <w:rPr>
            <w:webHidden/>
          </w:rPr>
          <w:instrText xml:space="preserve"> PAGEREF _Toc14425371 \h </w:instrText>
        </w:r>
        <w:r w:rsidR="008B0B95">
          <w:rPr>
            <w:webHidden/>
          </w:rPr>
        </w:r>
        <w:r w:rsidR="008B0B95">
          <w:rPr>
            <w:webHidden/>
          </w:rPr>
          <w:fldChar w:fldCharType="separate"/>
        </w:r>
        <w:r w:rsidR="008B0B95">
          <w:rPr>
            <w:webHidden/>
          </w:rPr>
          <w:t>10</w:t>
        </w:r>
        <w:r w:rsidR="008B0B95">
          <w:rPr>
            <w:webHidden/>
          </w:rPr>
          <w:fldChar w:fldCharType="end"/>
        </w:r>
      </w:hyperlink>
    </w:p>
    <w:p w14:paraId="16CFF9A3" w14:textId="6A623A44" w:rsidR="008B0B95" w:rsidRDefault="00C91DB6">
      <w:pPr>
        <w:pStyle w:val="Indholdsfortegnelse2"/>
        <w:rPr>
          <w:rFonts w:asciiTheme="minorHAnsi" w:eastAsiaTheme="minorEastAsia" w:hAnsiTheme="minorHAnsi" w:cstheme="minorBidi"/>
          <w:sz w:val="22"/>
          <w:szCs w:val="22"/>
          <w:lang w:val="en-GB" w:eastAsia="en-GB"/>
        </w:rPr>
      </w:pPr>
      <w:hyperlink w:anchor="_Toc14425372" w:history="1">
        <w:r w:rsidR="008B0B95" w:rsidRPr="00565C2A">
          <w:rPr>
            <w:rStyle w:val="Hyperlink"/>
          </w:rPr>
          <w:t>3.2</w:t>
        </w:r>
        <w:r w:rsidR="008B0B95">
          <w:rPr>
            <w:rFonts w:asciiTheme="minorHAnsi" w:eastAsiaTheme="minorEastAsia" w:hAnsiTheme="minorHAnsi" w:cstheme="minorBidi"/>
            <w:sz w:val="22"/>
            <w:szCs w:val="22"/>
            <w:lang w:val="en-GB" w:eastAsia="en-GB"/>
          </w:rPr>
          <w:tab/>
        </w:r>
        <w:r w:rsidR="008B0B95" w:rsidRPr="00565C2A">
          <w:rPr>
            <w:rStyle w:val="Hyperlink"/>
          </w:rPr>
          <w:t>Consequences from energy-related activities</w:t>
        </w:r>
        <w:r w:rsidR="008B0B95">
          <w:rPr>
            <w:webHidden/>
          </w:rPr>
          <w:tab/>
        </w:r>
        <w:r w:rsidR="008B0B95">
          <w:rPr>
            <w:webHidden/>
          </w:rPr>
          <w:fldChar w:fldCharType="begin"/>
        </w:r>
        <w:r w:rsidR="008B0B95">
          <w:rPr>
            <w:webHidden/>
          </w:rPr>
          <w:instrText xml:space="preserve"> PAGEREF _Toc14425372 \h </w:instrText>
        </w:r>
        <w:r w:rsidR="008B0B95">
          <w:rPr>
            <w:webHidden/>
          </w:rPr>
        </w:r>
        <w:r w:rsidR="008B0B95">
          <w:rPr>
            <w:webHidden/>
          </w:rPr>
          <w:fldChar w:fldCharType="separate"/>
        </w:r>
        <w:r w:rsidR="008B0B95">
          <w:rPr>
            <w:webHidden/>
          </w:rPr>
          <w:t>11</w:t>
        </w:r>
        <w:r w:rsidR="008B0B95">
          <w:rPr>
            <w:webHidden/>
          </w:rPr>
          <w:fldChar w:fldCharType="end"/>
        </w:r>
      </w:hyperlink>
    </w:p>
    <w:p w14:paraId="43A89218" w14:textId="15EAF01E" w:rsidR="008B0B95" w:rsidRDefault="00C91DB6">
      <w:pPr>
        <w:pStyle w:val="Indholdsfortegnelse2"/>
        <w:rPr>
          <w:rFonts w:asciiTheme="minorHAnsi" w:eastAsiaTheme="minorEastAsia" w:hAnsiTheme="minorHAnsi" w:cstheme="minorBidi"/>
          <w:sz w:val="22"/>
          <w:szCs w:val="22"/>
          <w:lang w:val="en-GB" w:eastAsia="en-GB"/>
        </w:rPr>
      </w:pPr>
      <w:hyperlink w:anchor="_Toc14425373" w:history="1">
        <w:r w:rsidR="008B0B95" w:rsidRPr="00565C2A">
          <w:rPr>
            <w:rStyle w:val="Hyperlink"/>
          </w:rPr>
          <w:t>3.3</w:t>
        </w:r>
        <w:r w:rsidR="008B0B95">
          <w:rPr>
            <w:rFonts w:asciiTheme="minorHAnsi" w:eastAsiaTheme="minorEastAsia" w:hAnsiTheme="minorHAnsi" w:cstheme="minorBidi"/>
            <w:sz w:val="22"/>
            <w:szCs w:val="22"/>
            <w:lang w:val="en-GB" w:eastAsia="en-GB"/>
          </w:rPr>
          <w:tab/>
        </w:r>
        <w:r w:rsidR="008B0B95" w:rsidRPr="00565C2A">
          <w:rPr>
            <w:rStyle w:val="Hyperlink"/>
          </w:rPr>
          <w:t>Pathways</w:t>
        </w:r>
        <w:r w:rsidR="008B0B95">
          <w:rPr>
            <w:webHidden/>
          </w:rPr>
          <w:tab/>
        </w:r>
        <w:r w:rsidR="008B0B95">
          <w:rPr>
            <w:webHidden/>
          </w:rPr>
          <w:fldChar w:fldCharType="begin"/>
        </w:r>
        <w:r w:rsidR="008B0B95">
          <w:rPr>
            <w:webHidden/>
          </w:rPr>
          <w:instrText xml:space="preserve"> PAGEREF _Toc14425373 \h </w:instrText>
        </w:r>
        <w:r w:rsidR="008B0B95">
          <w:rPr>
            <w:webHidden/>
          </w:rPr>
        </w:r>
        <w:r w:rsidR="008B0B95">
          <w:rPr>
            <w:webHidden/>
          </w:rPr>
          <w:fldChar w:fldCharType="separate"/>
        </w:r>
        <w:r w:rsidR="008B0B95">
          <w:rPr>
            <w:webHidden/>
          </w:rPr>
          <w:t>12</w:t>
        </w:r>
        <w:r w:rsidR="008B0B95">
          <w:rPr>
            <w:webHidden/>
          </w:rPr>
          <w:fldChar w:fldCharType="end"/>
        </w:r>
      </w:hyperlink>
    </w:p>
    <w:p w14:paraId="34F97F2E" w14:textId="4B7480D3" w:rsidR="008B0B95" w:rsidRDefault="00C91DB6">
      <w:pPr>
        <w:pStyle w:val="Indholdsfortegnelse2"/>
        <w:rPr>
          <w:rFonts w:asciiTheme="minorHAnsi" w:eastAsiaTheme="minorEastAsia" w:hAnsiTheme="minorHAnsi" w:cstheme="minorBidi"/>
          <w:sz w:val="22"/>
          <w:szCs w:val="22"/>
          <w:lang w:val="en-GB" w:eastAsia="en-GB"/>
        </w:rPr>
      </w:pPr>
      <w:hyperlink w:anchor="_Toc14425374" w:history="1">
        <w:r w:rsidR="008B0B95" w:rsidRPr="00565C2A">
          <w:rPr>
            <w:rStyle w:val="Hyperlink"/>
          </w:rPr>
          <w:t>3.4</w:t>
        </w:r>
        <w:r w:rsidR="008B0B95">
          <w:rPr>
            <w:rFonts w:asciiTheme="minorHAnsi" w:eastAsiaTheme="minorEastAsia" w:hAnsiTheme="minorHAnsi" w:cstheme="minorBidi"/>
            <w:sz w:val="22"/>
            <w:szCs w:val="22"/>
            <w:lang w:val="en-GB" w:eastAsia="en-GB"/>
          </w:rPr>
          <w:tab/>
        </w:r>
        <w:r w:rsidR="008B0B95" w:rsidRPr="00565C2A">
          <w:rPr>
            <w:rStyle w:val="Hyperlink"/>
          </w:rPr>
          <w:t>Extraction activities</w:t>
        </w:r>
        <w:r w:rsidR="008B0B95">
          <w:rPr>
            <w:webHidden/>
          </w:rPr>
          <w:tab/>
        </w:r>
        <w:r w:rsidR="008B0B95">
          <w:rPr>
            <w:webHidden/>
          </w:rPr>
          <w:fldChar w:fldCharType="begin"/>
        </w:r>
        <w:r w:rsidR="008B0B95">
          <w:rPr>
            <w:webHidden/>
          </w:rPr>
          <w:instrText xml:space="preserve"> PAGEREF _Toc14425374 \h </w:instrText>
        </w:r>
        <w:r w:rsidR="008B0B95">
          <w:rPr>
            <w:webHidden/>
          </w:rPr>
        </w:r>
        <w:r w:rsidR="008B0B95">
          <w:rPr>
            <w:webHidden/>
          </w:rPr>
          <w:fldChar w:fldCharType="separate"/>
        </w:r>
        <w:r w:rsidR="008B0B95">
          <w:rPr>
            <w:webHidden/>
          </w:rPr>
          <w:t>12</w:t>
        </w:r>
        <w:r w:rsidR="008B0B95">
          <w:rPr>
            <w:webHidden/>
          </w:rPr>
          <w:fldChar w:fldCharType="end"/>
        </w:r>
      </w:hyperlink>
    </w:p>
    <w:p w14:paraId="6290E718" w14:textId="01D37ADB" w:rsidR="008B0B95" w:rsidRDefault="00C91DB6">
      <w:pPr>
        <w:pStyle w:val="Indholdsfortegnelse2"/>
        <w:rPr>
          <w:rFonts w:asciiTheme="minorHAnsi" w:eastAsiaTheme="minorEastAsia" w:hAnsiTheme="minorHAnsi" w:cstheme="minorBidi"/>
          <w:sz w:val="22"/>
          <w:szCs w:val="22"/>
          <w:lang w:val="en-GB" w:eastAsia="en-GB"/>
        </w:rPr>
      </w:pPr>
      <w:hyperlink w:anchor="_Toc14425375" w:history="1">
        <w:r w:rsidR="008B0B95" w:rsidRPr="00565C2A">
          <w:rPr>
            <w:rStyle w:val="Hyperlink"/>
          </w:rPr>
          <w:t>3.5</w:t>
        </w:r>
        <w:r w:rsidR="008B0B95">
          <w:rPr>
            <w:rFonts w:asciiTheme="minorHAnsi" w:eastAsiaTheme="minorEastAsia" w:hAnsiTheme="minorHAnsi" w:cstheme="minorBidi"/>
            <w:sz w:val="22"/>
            <w:szCs w:val="22"/>
            <w:lang w:val="en-GB" w:eastAsia="en-GB"/>
          </w:rPr>
          <w:tab/>
        </w:r>
        <w:r w:rsidR="008B0B95" w:rsidRPr="00565C2A">
          <w:rPr>
            <w:rStyle w:val="Hyperlink"/>
          </w:rPr>
          <w:t>Injection activities</w:t>
        </w:r>
        <w:r w:rsidR="008B0B95">
          <w:rPr>
            <w:webHidden/>
          </w:rPr>
          <w:tab/>
        </w:r>
        <w:r w:rsidR="008B0B95">
          <w:rPr>
            <w:webHidden/>
          </w:rPr>
          <w:fldChar w:fldCharType="begin"/>
        </w:r>
        <w:r w:rsidR="008B0B95">
          <w:rPr>
            <w:webHidden/>
          </w:rPr>
          <w:instrText xml:space="preserve"> PAGEREF _Toc14425375 \h </w:instrText>
        </w:r>
        <w:r w:rsidR="008B0B95">
          <w:rPr>
            <w:webHidden/>
          </w:rPr>
        </w:r>
        <w:r w:rsidR="008B0B95">
          <w:rPr>
            <w:webHidden/>
          </w:rPr>
          <w:fldChar w:fldCharType="separate"/>
        </w:r>
        <w:r w:rsidR="008B0B95">
          <w:rPr>
            <w:webHidden/>
          </w:rPr>
          <w:t>14</w:t>
        </w:r>
        <w:r w:rsidR="008B0B95">
          <w:rPr>
            <w:webHidden/>
          </w:rPr>
          <w:fldChar w:fldCharType="end"/>
        </w:r>
      </w:hyperlink>
    </w:p>
    <w:p w14:paraId="6BFE6652" w14:textId="777A94A5" w:rsidR="008B0B95" w:rsidRDefault="00C91DB6">
      <w:pPr>
        <w:pStyle w:val="Indholdsfortegnelse2"/>
        <w:rPr>
          <w:rFonts w:asciiTheme="minorHAnsi" w:eastAsiaTheme="minorEastAsia" w:hAnsiTheme="minorHAnsi" w:cstheme="minorBidi"/>
          <w:sz w:val="22"/>
          <w:szCs w:val="22"/>
          <w:lang w:val="en-GB" w:eastAsia="en-GB"/>
        </w:rPr>
      </w:pPr>
      <w:hyperlink w:anchor="_Toc14425376" w:history="1">
        <w:r w:rsidR="008B0B95" w:rsidRPr="00565C2A">
          <w:rPr>
            <w:rStyle w:val="Hyperlink"/>
          </w:rPr>
          <w:t>3.6</w:t>
        </w:r>
        <w:r w:rsidR="008B0B95">
          <w:rPr>
            <w:rFonts w:asciiTheme="minorHAnsi" w:eastAsiaTheme="minorEastAsia" w:hAnsiTheme="minorHAnsi" w:cstheme="minorBidi"/>
            <w:sz w:val="22"/>
            <w:szCs w:val="22"/>
            <w:lang w:val="en-GB" w:eastAsia="en-GB"/>
          </w:rPr>
          <w:tab/>
        </w:r>
        <w:r w:rsidR="008B0B95" w:rsidRPr="00565C2A">
          <w:rPr>
            <w:rStyle w:val="Hyperlink"/>
          </w:rPr>
          <w:t>Pressure neutral activities</w:t>
        </w:r>
        <w:r w:rsidR="008B0B95">
          <w:rPr>
            <w:webHidden/>
          </w:rPr>
          <w:tab/>
        </w:r>
        <w:r w:rsidR="008B0B95">
          <w:rPr>
            <w:webHidden/>
          </w:rPr>
          <w:fldChar w:fldCharType="begin"/>
        </w:r>
        <w:r w:rsidR="008B0B95">
          <w:rPr>
            <w:webHidden/>
          </w:rPr>
          <w:instrText xml:space="preserve"> PAGEREF _Toc14425376 \h </w:instrText>
        </w:r>
        <w:r w:rsidR="008B0B95">
          <w:rPr>
            <w:webHidden/>
          </w:rPr>
        </w:r>
        <w:r w:rsidR="008B0B95">
          <w:rPr>
            <w:webHidden/>
          </w:rPr>
          <w:fldChar w:fldCharType="separate"/>
        </w:r>
        <w:r w:rsidR="008B0B95">
          <w:rPr>
            <w:webHidden/>
          </w:rPr>
          <w:t>14</w:t>
        </w:r>
        <w:r w:rsidR="008B0B95">
          <w:rPr>
            <w:webHidden/>
          </w:rPr>
          <w:fldChar w:fldCharType="end"/>
        </w:r>
      </w:hyperlink>
    </w:p>
    <w:p w14:paraId="19A8597E" w14:textId="1F027264" w:rsidR="008B0B95" w:rsidRDefault="00C91DB6">
      <w:pPr>
        <w:pStyle w:val="Indholdsfortegnelse2"/>
        <w:rPr>
          <w:rFonts w:asciiTheme="minorHAnsi" w:eastAsiaTheme="minorEastAsia" w:hAnsiTheme="minorHAnsi" w:cstheme="minorBidi"/>
          <w:sz w:val="22"/>
          <w:szCs w:val="22"/>
          <w:lang w:val="en-GB" w:eastAsia="en-GB"/>
        </w:rPr>
      </w:pPr>
      <w:hyperlink w:anchor="_Toc14425377" w:history="1">
        <w:r w:rsidR="008B0B95" w:rsidRPr="00565C2A">
          <w:rPr>
            <w:rStyle w:val="Hyperlink"/>
          </w:rPr>
          <w:t>3.7</w:t>
        </w:r>
        <w:r w:rsidR="008B0B95">
          <w:rPr>
            <w:rFonts w:asciiTheme="minorHAnsi" w:eastAsiaTheme="minorEastAsia" w:hAnsiTheme="minorHAnsi" w:cstheme="minorBidi"/>
            <w:sz w:val="22"/>
            <w:szCs w:val="22"/>
            <w:lang w:val="en-GB" w:eastAsia="en-GB"/>
          </w:rPr>
          <w:tab/>
        </w:r>
        <w:r w:rsidR="008B0B95" w:rsidRPr="00565C2A">
          <w:rPr>
            <w:rStyle w:val="Hyperlink"/>
          </w:rPr>
          <w:t>Summary of pathways</w:t>
        </w:r>
        <w:r w:rsidR="008B0B95">
          <w:rPr>
            <w:webHidden/>
          </w:rPr>
          <w:tab/>
        </w:r>
        <w:r w:rsidR="008B0B95">
          <w:rPr>
            <w:webHidden/>
          </w:rPr>
          <w:fldChar w:fldCharType="begin"/>
        </w:r>
        <w:r w:rsidR="008B0B95">
          <w:rPr>
            <w:webHidden/>
          </w:rPr>
          <w:instrText xml:space="preserve"> PAGEREF _Toc14425377 \h </w:instrText>
        </w:r>
        <w:r w:rsidR="008B0B95">
          <w:rPr>
            <w:webHidden/>
          </w:rPr>
        </w:r>
        <w:r w:rsidR="008B0B95">
          <w:rPr>
            <w:webHidden/>
          </w:rPr>
          <w:fldChar w:fldCharType="separate"/>
        </w:r>
        <w:r w:rsidR="008B0B95">
          <w:rPr>
            <w:webHidden/>
          </w:rPr>
          <w:t>15</w:t>
        </w:r>
        <w:r w:rsidR="008B0B95">
          <w:rPr>
            <w:webHidden/>
          </w:rPr>
          <w:fldChar w:fldCharType="end"/>
        </w:r>
      </w:hyperlink>
    </w:p>
    <w:p w14:paraId="6A7DFA6E" w14:textId="518EA397" w:rsidR="008B0B95" w:rsidRDefault="00C91DB6">
      <w:pPr>
        <w:pStyle w:val="Indholdsfortegnelse1"/>
        <w:rPr>
          <w:rFonts w:asciiTheme="minorHAnsi" w:eastAsiaTheme="minorEastAsia" w:hAnsiTheme="minorHAnsi" w:cstheme="minorBidi"/>
          <w:caps w:val="0"/>
          <w:sz w:val="22"/>
          <w:szCs w:val="22"/>
          <w:lang w:val="en-GB" w:eastAsia="en-GB"/>
        </w:rPr>
      </w:pPr>
      <w:hyperlink w:anchor="_Toc14425378" w:history="1">
        <w:r w:rsidR="008B0B95" w:rsidRPr="00565C2A">
          <w:rPr>
            <w:rStyle w:val="Hyperlink"/>
          </w:rPr>
          <w:t>4</w:t>
        </w:r>
        <w:r w:rsidR="008B0B95">
          <w:rPr>
            <w:rFonts w:asciiTheme="minorHAnsi" w:eastAsiaTheme="minorEastAsia" w:hAnsiTheme="minorHAnsi" w:cstheme="minorBidi"/>
            <w:caps w:val="0"/>
            <w:sz w:val="22"/>
            <w:szCs w:val="22"/>
            <w:lang w:val="en-GB" w:eastAsia="en-GB"/>
          </w:rPr>
          <w:tab/>
        </w:r>
        <w:r w:rsidR="008B0B95" w:rsidRPr="00565C2A">
          <w:rPr>
            <w:rStyle w:val="Hyperlink"/>
          </w:rPr>
          <w:t>Pilot Pannonian Basin</w:t>
        </w:r>
        <w:r w:rsidR="008B0B95">
          <w:rPr>
            <w:webHidden/>
          </w:rPr>
          <w:tab/>
        </w:r>
        <w:r w:rsidR="008B0B95">
          <w:rPr>
            <w:webHidden/>
          </w:rPr>
          <w:fldChar w:fldCharType="begin"/>
        </w:r>
        <w:r w:rsidR="008B0B95">
          <w:rPr>
            <w:webHidden/>
          </w:rPr>
          <w:instrText xml:space="preserve"> PAGEREF _Toc14425378 \h </w:instrText>
        </w:r>
        <w:r w:rsidR="008B0B95">
          <w:rPr>
            <w:webHidden/>
          </w:rPr>
        </w:r>
        <w:r w:rsidR="008B0B95">
          <w:rPr>
            <w:webHidden/>
          </w:rPr>
          <w:fldChar w:fldCharType="separate"/>
        </w:r>
        <w:r w:rsidR="008B0B95">
          <w:rPr>
            <w:webHidden/>
          </w:rPr>
          <w:t>16</w:t>
        </w:r>
        <w:r w:rsidR="008B0B95">
          <w:rPr>
            <w:webHidden/>
          </w:rPr>
          <w:fldChar w:fldCharType="end"/>
        </w:r>
      </w:hyperlink>
    </w:p>
    <w:p w14:paraId="7DFD4EFC" w14:textId="14CC9516" w:rsidR="008B0B95" w:rsidRDefault="00C91DB6">
      <w:pPr>
        <w:pStyle w:val="Indholdsfortegnelse2"/>
        <w:rPr>
          <w:rFonts w:asciiTheme="minorHAnsi" w:eastAsiaTheme="minorEastAsia" w:hAnsiTheme="minorHAnsi" w:cstheme="minorBidi"/>
          <w:sz w:val="22"/>
          <w:szCs w:val="22"/>
          <w:lang w:val="en-GB" w:eastAsia="en-GB"/>
        </w:rPr>
      </w:pPr>
      <w:hyperlink w:anchor="_Toc14425379" w:history="1">
        <w:r w:rsidR="008B0B95" w:rsidRPr="00565C2A">
          <w:rPr>
            <w:rStyle w:val="Hyperlink"/>
          </w:rPr>
          <w:t>4.1</w:t>
        </w:r>
        <w:r w:rsidR="008B0B95">
          <w:rPr>
            <w:rFonts w:asciiTheme="minorHAnsi" w:eastAsiaTheme="minorEastAsia" w:hAnsiTheme="minorHAnsi" w:cstheme="minorBidi"/>
            <w:sz w:val="22"/>
            <w:szCs w:val="22"/>
            <w:lang w:val="en-GB" w:eastAsia="en-GB"/>
          </w:rPr>
          <w:tab/>
        </w:r>
        <w:r w:rsidR="008B0B95" w:rsidRPr="00565C2A">
          <w:rPr>
            <w:rStyle w:val="Hyperlink"/>
          </w:rPr>
          <w:t>Introduction of the pilot</w:t>
        </w:r>
        <w:r w:rsidR="008B0B95">
          <w:rPr>
            <w:webHidden/>
          </w:rPr>
          <w:tab/>
        </w:r>
        <w:r w:rsidR="008B0B95">
          <w:rPr>
            <w:webHidden/>
          </w:rPr>
          <w:fldChar w:fldCharType="begin"/>
        </w:r>
        <w:r w:rsidR="008B0B95">
          <w:rPr>
            <w:webHidden/>
          </w:rPr>
          <w:instrText xml:space="preserve"> PAGEREF _Toc14425379 \h </w:instrText>
        </w:r>
        <w:r w:rsidR="008B0B95">
          <w:rPr>
            <w:webHidden/>
          </w:rPr>
        </w:r>
        <w:r w:rsidR="008B0B95">
          <w:rPr>
            <w:webHidden/>
          </w:rPr>
          <w:fldChar w:fldCharType="separate"/>
        </w:r>
        <w:r w:rsidR="008B0B95">
          <w:rPr>
            <w:webHidden/>
          </w:rPr>
          <w:t>16</w:t>
        </w:r>
        <w:r w:rsidR="008B0B95">
          <w:rPr>
            <w:webHidden/>
          </w:rPr>
          <w:fldChar w:fldCharType="end"/>
        </w:r>
      </w:hyperlink>
    </w:p>
    <w:p w14:paraId="79CC1181" w14:textId="603F289F" w:rsidR="008B0B95" w:rsidRDefault="00C91DB6">
      <w:pPr>
        <w:pStyle w:val="Indholdsfortegnelse2"/>
        <w:rPr>
          <w:rFonts w:asciiTheme="minorHAnsi" w:eastAsiaTheme="minorEastAsia" w:hAnsiTheme="minorHAnsi" w:cstheme="minorBidi"/>
          <w:sz w:val="22"/>
          <w:szCs w:val="22"/>
          <w:lang w:val="en-GB" w:eastAsia="en-GB"/>
        </w:rPr>
      </w:pPr>
      <w:hyperlink w:anchor="_Toc14425380" w:history="1">
        <w:r w:rsidR="008B0B95" w:rsidRPr="00565C2A">
          <w:rPr>
            <w:rStyle w:val="Hyperlink"/>
          </w:rPr>
          <w:t>4.2</w:t>
        </w:r>
        <w:r w:rsidR="008B0B95">
          <w:rPr>
            <w:rFonts w:asciiTheme="minorHAnsi" w:eastAsiaTheme="minorEastAsia" w:hAnsiTheme="minorHAnsi" w:cstheme="minorBidi"/>
            <w:sz w:val="22"/>
            <w:szCs w:val="22"/>
            <w:lang w:val="en-GB" w:eastAsia="en-GB"/>
          </w:rPr>
          <w:tab/>
        </w:r>
        <w:r w:rsidR="008B0B95" w:rsidRPr="00565C2A">
          <w:rPr>
            <w:rStyle w:val="Hyperlink"/>
          </w:rPr>
          <w:t>Available infrastructure</w:t>
        </w:r>
        <w:r w:rsidR="008B0B95">
          <w:rPr>
            <w:webHidden/>
          </w:rPr>
          <w:tab/>
        </w:r>
        <w:r w:rsidR="008B0B95">
          <w:rPr>
            <w:webHidden/>
          </w:rPr>
          <w:fldChar w:fldCharType="begin"/>
        </w:r>
        <w:r w:rsidR="008B0B95">
          <w:rPr>
            <w:webHidden/>
          </w:rPr>
          <w:instrText xml:space="preserve"> PAGEREF _Toc14425380 \h </w:instrText>
        </w:r>
        <w:r w:rsidR="008B0B95">
          <w:rPr>
            <w:webHidden/>
          </w:rPr>
        </w:r>
        <w:r w:rsidR="008B0B95">
          <w:rPr>
            <w:webHidden/>
          </w:rPr>
          <w:fldChar w:fldCharType="separate"/>
        </w:r>
        <w:r w:rsidR="008B0B95">
          <w:rPr>
            <w:webHidden/>
          </w:rPr>
          <w:t>17</w:t>
        </w:r>
        <w:r w:rsidR="008B0B95">
          <w:rPr>
            <w:webHidden/>
          </w:rPr>
          <w:fldChar w:fldCharType="end"/>
        </w:r>
      </w:hyperlink>
    </w:p>
    <w:p w14:paraId="24C87AB9" w14:textId="200D4629" w:rsidR="008B0B95" w:rsidRDefault="00C91DB6">
      <w:pPr>
        <w:pStyle w:val="Indholdsfortegnelse2"/>
        <w:rPr>
          <w:rFonts w:asciiTheme="minorHAnsi" w:eastAsiaTheme="minorEastAsia" w:hAnsiTheme="minorHAnsi" w:cstheme="minorBidi"/>
          <w:sz w:val="22"/>
          <w:szCs w:val="22"/>
          <w:lang w:val="en-GB" w:eastAsia="en-GB"/>
        </w:rPr>
      </w:pPr>
      <w:hyperlink w:anchor="_Toc14425381" w:history="1">
        <w:r w:rsidR="008B0B95" w:rsidRPr="00565C2A">
          <w:rPr>
            <w:rStyle w:val="Hyperlink"/>
          </w:rPr>
          <w:t>4.3</w:t>
        </w:r>
        <w:r w:rsidR="008B0B95">
          <w:rPr>
            <w:rFonts w:asciiTheme="minorHAnsi" w:eastAsiaTheme="minorEastAsia" w:hAnsiTheme="minorHAnsi" w:cstheme="minorBidi"/>
            <w:sz w:val="22"/>
            <w:szCs w:val="22"/>
            <w:lang w:val="en-GB" w:eastAsia="en-GB"/>
          </w:rPr>
          <w:tab/>
        </w:r>
        <w:r w:rsidR="008B0B95" w:rsidRPr="00565C2A">
          <w:rPr>
            <w:rStyle w:val="Hyperlink"/>
          </w:rPr>
          <w:t>Available information</w:t>
        </w:r>
        <w:r w:rsidR="008B0B95">
          <w:rPr>
            <w:webHidden/>
          </w:rPr>
          <w:tab/>
        </w:r>
        <w:r w:rsidR="008B0B95">
          <w:rPr>
            <w:webHidden/>
          </w:rPr>
          <w:fldChar w:fldCharType="begin"/>
        </w:r>
        <w:r w:rsidR="008B0B95">
          <w:rPr>
            <w:webHidden/>
          </w:rPr>
          <w:instrText xml:space="preserve"> PAGEREF _Toc14425381 \h </w:instrText>
        </w:r>
        <w:r w:rsidR="008B0B95">
          <w:rPr>
            <w:webHidden/>
          </w:rPr>
        </w:r>
        <w:r w:rsidR="008B0B95">
          <w:rPr>
            <w:webHidden/>
          </w:rPr>
          <w:fldChar w:fldCharType="separate"/>
        </w:r>
        <w:r w:rsidR="008B0B95">
          <w:rPr>
            <w:webHidden/>
          </w:rPr>
          <w:t>18</w:t>
        </w:r>
        <w:r w:rsidR="008B0B95">
          <w:rPr>
            <w:webHidden/>
          </w:rPr>
          <w:fldChar w:fldCharType="end"/>
        </w:r>
      </w:hyperlink>
    </w:p>
    <w:p w14:paraId="3A18E499" w14:textId="75EF6AF0" w:rsidR="008B0B95" w:rsidRDefault="00C91DB6">
      <w:pPr>
        <w:pStyle w:val="Indholdsfortegnelse2"/>
        <w:rPr>
          <w:rFonts w:asciiTheme="minorHAnsi" w:eastAsiaTheme="minorEastAsia" w:hAnsiTheme="minorHAnsi" w:cstheme="minorBidi"/>
          <w:sz w:val="22"/>
          <w:szCs w:val="22"/>
          <w:lang w:val="en-GB" w:eastAsia="en-GB"/>
        </w:rPr>
      </w:pPr>
      <w:hyperlink w:anchor="_Toc14425382" w:history="1">
        <w:r w:rsidR="008B0B95" w:rsidRPr="00565C2A">
          <w:rPr>
            <w:rStyle w:val="Hyperlink"/>
          </w:rPr>
          <w:t>4.4</w:t>
        </w:r>
        <w:r w:rsidR="008B0B95">
          <w:rPr>
            <w:rFonts w:asciiTheme="minorHAnsi" w:eastAsiaTheme="minorEastAsia" w:hAnsiTheme="minorHAnsi" w:cstheme="minorBidi"/>
            <w:sz w:val="22"/>
            <w:szCs w:val="22"/>
            <w:lang w:val="en-GB" w:eastAsia="en-GB"/>
          </w:rPr>
          <w:tab/>
        </w:r>
        <w:r w:rsidR="008B0B95" w:rsidRPr="00565C2A">
          <w:rPr>
            <w:rStyle w:val="Hyperlink"/>
          </w:rPr>
          <w:t>Information gaps</w:t>
        </w:r>
        <w:r w:rsidR="008B0B95">
          <w:rPr>
            <w:webHidden/>
          </w:rPr>
          <w:tab/>
        </w:r>
        <w:r w:rsidR="008B0B95">
          <w:rPr>
            <w:webHidden/>
          </w:rPr>
          <w:fldChar w:fldCharType="begin"/>
        </w:r>
        <w:r w:rsidR="008B0B95">
          <w:rPr>
            <w:webHidden/>
          </w:rPr>
          <w:instrText xml:space="preserve"> PAGEREF _Toc14425382 \h </w:instrText>
        </w:r>
        <w:r w:rsidR="008B0B95">
          <w:rPr>
            <w:webHidden/>
          </w:rPr>
        </w:r>
        <w:r w:rsidR="008B0B95">
          <w:rPr>
            <w:webHidden/>
          </w:rPr>
          <w:fldChar w:fldCharType="separate"/>
        </w:r>
        <w:r w:rsidR="008B0B95">
          <w:rPr>
            <w:webHidden/>
          </w:rPr>
          <w:t>18</w:t>
        </w:r>
        <w:r w:rsidR="008B0B95">
          <w:rPr>
            <w:webHidden/>
          </w:rPr>
          <w:fldChar w:fldCharType="end"/>
        </w:r>
      </w:hyperlink>
    </w:p>
    <w:p w14:paraId="68068FCE" w14:textId="6B40DC53" w:rsidR="008B0B95" w:rsidRDefault="00C91DB6">
      <w:pPr>
        <w:pStyle w:val="Indholdsfortegnelse2"/>
        <w:rPr>
          <w:rFonts w:asciiTheme="minorHAnsi" w:eastAsiaTheme="minorEastAsia" w:hAnsiTheme="minorHAnsi" w:cstheme="minorBidi"/>
          <w:sz w:val="22"/>
          <w:szCs w:val="22"/>
          <w:lang w:val="en-GB" w:eastAsia="en-GB"/>
        </w:rPr>
      </w:pPr>
      <w:hyperlink w:anchor="_Toc14425383" w:history="1">
        <w:r w:rsidR="008B0B95" w:rsidRPr="00565C2A">
          <w:rPr>
            <w:rStyle w:val="Hyperlink"/>
          </w:rPr>
          <w:t>4.5</w:t>
        </w:r>
        <w:r w:rsidR="008B0B95">
          <w:rPr>
            <w:rFonts w:asciiTheme="minorHAnsi" w:eastAsiaTheme="minorEastAsia" w:hAnsiTheme="minorHAnsi" w:cstheme="minorBidi"/>
            <w:sz w:val="22"/>
            <w:szCs w:val="22"/>
            <w:lang w:val="en-GB" w:eastAsia="en-GB"/>
          </w:rPr>
          <w:tab/>
        </w:r>
        <w:r w:rsidR="008B0B95" w:rsidRPr="00565C2A">
          <w:rPr>
            <w:rStyle w:val="Hyperlink"/>
          </w:rPr>
          <w:t>Data collection plan</w:t>
        </w:r>
        <w:r w:rsidR="008B0B95">
          <w:rPr>
            <w:webHidden/>
          </w:rPr>
          <w:tab/>
        </w:r>
        <w:r w:rsidR="008B0B95">
          <w:rPr>
            <w:webHidden/>
          </w:rPr>
          <w:fldChar w:fldCharType="begin"/>
        </w:r>
        <w:r w:rsidR="008B0B95">
          <w:rPr>
            <w:webHidden/>
          </w:rPr>
          <w:instrText xml:space="preserve"> PAGEREF _Toc14425383 \h </w:instrText>
        </w:r>
        <w:r w:rsidR="008B0B95">
          <w:rPr>
            <w:webHidden/>
          </w:rPr>
        </w:r>
        <w:r w:rsidR="008B0B95">
          <w:rPr>
            <w:webHidden/>
          </w:rPr>
          <w:fldChar w:fldCharType="separate"/>
        </w:r>
        <w:r w:rsidR="008B0B95">
          <w:rPr>
            <w:webHidden/>
          </w:rPr>
          <w:t>19</w:t>
        </w:r>
        <w:r w:rsidR="008B0B95">
          <w:rPr>
            <w:webHidden/>
          </w:rPr>
          <w:fldChar w:fldCharType="end"/>
        </w:r>
      </w:hyperlink>
    </w:p>
    <w:p w14:paraId="5EC7C3F3" w14:textId="15259A47" w:rsidR="008B0B95" w:rsidRDefault="00C91DB6">
      <w:pPr>
        <w:pStyle w:val="Indholdsfortegnelse1"/>
        <w:rPr>
          <w:rFonts w:asciiTheme="minorHAnsi" w:eastAsiaTheme="minorEastAsia" w:hAnsiTheme="minorHAnsi" w:cstheme="minorBidi"/>
          <w:caps w:val="0"/>
          <w:sz w:val="22"/>
          <w:szCs w:val="22"/>
          <w:lang w:val="en-GB" w:eastAsia="en-GB"/>
        </w:rPr>
      </w:pPr>
      <w:hyperlink w:anchor="_Toc14425384" w:history="1">
        <w:r w:rsidR="008B0B95" w:rsidRPr="00565C2A">
          <w:rPr>
            <w:rStyle w:val="Hyperlink"/>
          </w:rPr>
          <w:t>5</w:t>
        </w:r>
        <w:r w:rsidR="008B0B95">
          <w:rPr>
            <w:rFonts w:asciiTheme="minorHAnsi" w:eastAsiaTheme="minorEastAsia" w:hAnsiTheme="minorHAnsi" w:cstheme="minorBidi"/>
            <w:caps w:val="0"/>
            <w:sz w:val="22"/>
            <w:szCs w:val="22"/>
            <w:lang w:val="en-GB" w:eastAsia="en-GB"/>
          </w:rPr>
          <w:tab/>
        </w:r>
        <w:r w:rsidR="008B0B95" w:rsidRPr="00565C2A">
          <w:rPr>
            <w:rStyle w:val="Hyperlink"/>
          </w:rPr>
          <w:t>Pilot Vale of Pickering</w:t>
        </w:r>
        <w:r w:rsidR="008B0B95">
          <w:rPr>
            <w:webHidden/>
          </w:rPr>
          <w:tab/>
        </w:r>
        <w:r w:rsidR="008B0B95">
          <w:rPr>
            <w:webHidden/>
          </w:rPr>
          <w:fldChar w:fldCharType="begin"/>
        </w:r>
        <w:r w:rsidR="008B0B95">
          <w:rPr>
            <w:webHidden/>
          </w:rPr>
          <w:instrText xml:space="preserve"> PAGEREF _Toc14425384 \h </w:instrText>
        </w:r>
        <w:r w:rsidR="008B0B95">
          <w:rPr>
            <w:webHidden/>
          </w:rPr>
        </w:r>
        <w:r w:rsidR="008B0B95">
          <w:rPr>
            <w:webHidden/>
          </w:rPr>
          <w:fldChar w:fldCharType="separate"/>
        </w:r>
        <w:r w:rsidR="008B0B95">
          <w:rPr>
            <w:webHidden/>
          </w:rPr>
          <w:t>20</w:t>
        </w:r>
        <w:r w:rsidR="008B0B95">
          <w:rPr>
            <w:webHidden/>
          </w:rPr>
          <w:fldChar w:fldCharType="end"/>
        </w:r>
      </w:hyperlink>
    </w:p>
    <w:p w14:paraId="30B5339F" w14:textId="002A08AA" w:rsidR="008B0B95" w:rsidRDefault="00C91DB6">
      <w:pPr>
        <w:pStyle w:val="Indholdsfortegnelse2"/>
        <w:rPr>
          <w:rFonts w:asciiTheme="minorHAnsi" w:eastAsiaTheme="minorEastAsia" w:hAnsiTheme="minorHAnsi" w:cstheme="minorBidi"/>
          <w:sz w:val="22"/>
          <w:szCs w:val="22"/>
          <w:lang w:val="en-GB" w:eastAsia="en-GB"/>
        </w:rPr>
      </w:pPr>
      <w:hyperlink w:anchor="_Toc14425385" w:history="1">
        <w:r w:rsidR="008B0B95" w:rsidRPr="00565C2A">
          <w:rPr>
            <w:rStyle w:val="Hyperlink"/>
          </w:rPr>
          <w:t>5.1</w:t>
        </w:r>
        <w:r w:rsidR="008B0B95">
          <w:rPr>
            <w:rFonts w:asciiTheme="minorHAnsi" w:eastAsiaTheme="minorEastAsia" w:hAnsiTheme="minorHAnsi" w:cstheme="minorBidi"/>
            <w:sz w:val="22"/>
            <w:szCs w:val="22"/>
            <w:lang w:val="en-GB" w:eastAsia="en-GB"/>
          </w:rPr>
          <w:tab/>
        </w:r>
        <w:r w:rsidR="008B0B95" w:rsidRPr="00565C2A">
          <w:rPr>
            <w:rStyle w:val="Hyperlink"/>
          </w:rPr>
          <w:t>Introduction of pilot</w:t>
        </w:r>
        <w:r w:rsidR="008B0B95">
          <w:rPr>
            <w:webHidden/>
          </w:rPr>
          <w:tab/>
        </w:r>
        <w:r w:rsidR="008B0B95">
          <w:rPr>
            <w:webHidden/>
          </w:rPr>
          <w:fldChar w:fldCharType="begin"/>
        </w:r>
        <w:r w:rsidR="008B0B95">
          <w:rPr>
            <w:webHidden/>
          </w:rPr>
          <w:instrText xml:space="preserve"> PAGEREF _Toc14425385 \h </w:instrText>
        </w:r>
        <w:r w:rsidR="008B0B95">
          <w:rPr>
            <w:webHidden/>
          </w:rPr>
        </w:r>
        <w:r w:rsidR="008B0B95">
          <w:rPr>
            <w:webHidden/>
          </w:rPr>
          <w:fldChar w:fldCharType="separate"/>
        </w:r>
        <w:r w:rsidR="008B0B95">
          <w:rPr>
            <w:webHidden/>
          </w:rPr>
          <w:t>20</w:t>
        </w:r>
        <w:r w:rsidR="008B0B95">
          <w:rPr>
            <w:webHidden/>
          </w:rPr>
          <w:fldChar w:fldCharType="end"/>
        </w:r>
      </w:hyperlink>
    </w:p>
    <w:p w14:paraId="328A1548" w14:textId="294726BD" w:rsidR="008B0B95" w:rsidRDefault="00C91DB6">
      <w:pPr>
        <w:pStyle w:val="Indholdsfortegnelse2"/>
        <w:rPr>
          <w:rFonts w:asciiTheme="minorHAnsi" w:eastAsiaTheme="minorEastAsia" w:hAnsiTheme="minorHAnsi" w:cstheme="minorBidi"/>
          <w:sz w:val="22"/>
          <w:szCs w:val="22"/>
          <w:lang w:val="en-GB" w:eastAsia="en-GB"/>
        </w:rPr>
      </w:pPr>
      <w:hyperlink w:anchor="_Toc14425386" w:history="1">
        <w:r w:rsidR="008B0B95" w:rsidRPr="00565C2A">
          <w:rPr>
            <w:rStyle w:val="Hyperlink"/>
          </w:rPr>
          <w:t>5.2</w:t>
        </w:r>
        <w:r w:rsidR="008B0B95">
          <w:rPr>
            <w:rFonts w:asciiTheme="minorHAnsi" w:eastAsiaTheme="minorEastAsia" w:hAnsiTheme="minorHAnsi" w:cstheme="minorBidi"/>
            <w:sz w:val="22"/>
            <w:szCs w:val="22"/>
            <w:lang w:val="en-GB" w:eastAsia="en-GB"/>
          </w:rPr>
          <w:tab/>
        </w:r>
        <w:r w:rsidR="008B0B95" w:rsidRPr="00565C2A">
          <w:rPr>
            <w:rStyle w:val="Hyperlink"/>
          </w:rPr>
          <w:t>Available infrastructure</w:t>
        </w:r>
        <w:r w:rsidR="008B0B95">
          <w:rPr>
            <w:webHidden/>
          </w:rPr>
          <w:tab/>
        </w:r>
        <w:r w:rsidR="008B0B95">
          <w:rPr>
            <w:webHidden/>
          </w:rPr>
          <w:fldChar w:fldCharType="begin"/>
        </w:r>
        <w:r w:rsidR="008B0B95">
          <w:rPr>
            <w:webHidden/>
          </w:rPr>
          <w:instrText xml:space="preserve"> PAGEREF _Toc14425386 \h </w:instrText>
        </w:r>
        <w:r w:rsidR="008B0B95">
          <w:rPr>
            <w:webHidden/>
          </w:rPr>
        </w:r>
        <w:r w:rsidR="008B0B95">
          <w:rPr>
            <w:webHidden/>
          </w:rPr>
          <w:fldChar w:fldCharType="separate"/>
        </w:r>
        <w:r w:rsidR="008B0B95">
          <w:rPr>
            <w:webHidden/>
          </w:rPr>
          <w:t>26</w:t>
        </w:r>
        <w:r w:rsidR="008B0B95">
          <w:rPr>
            <w:webHidden/>
          </w:rPr>
          <w:fldChar w:fldCharType="end"/>
        </w:r>
      </w:hyperlink>
    </w:p>
    <w:p w14:paraId="765F3FAC" w14:textId="075C4382" w:rsidR="008B0B95" w:rsidRDefault="00C91DB6">
      <w:pPr>
        <w:pStyle w:val="Indholdsfortegnelse2"/>
        <w:rPr>
          <w:rFonts w:asciiTheme="minorHAnsi" w:eastAsiaTheme="minorEastAsia" w:hAnsiTheme="minorHAnsi" w:cstheme="minorBidi"/>
          <w:sz w:val="22"/>
          <w:szCs w:val="22"/>
          <w:lang w:val="en-GB" w:eastAsia="en-GB"/>
        </w:rPr>
      </w:pPr>
      <w:hyperlink w:anchor="_Toc14425387" w:history="1">
        <w:r w:rsidR="008B0B95" w:rsidRPr="00565C2A">
          <w:rPr>
            <w:rStyle w:val="Hyperlink"/>
          </w:rPr>
          <w:t>5.3</w:t>
        </w:r>
        <w:r w:rsidR="008B0B95">
          <w:rPr>
            <w:rFonts w:asciiTheme="minorHAnsi" w:eastAsiaTheme="minorEastAsia" w:hAnsiTheme="minorHAnsi" w:cstheme="minorBidi"/>
            <w:sz w:val="22"/>
            <w:szCs w:val="22"/>
            <w:lang w:val="en-GB" w:eastAsia="en-GB"/>
          </w:rPr>
          <w:tab/>
        </w:r>
        <w:r w:rsidR="008B0B95" w:rsidRPr="00565C2A">
          <w:rPr>
            <w:rStyle w:val="Hyperlink"/>
          </w:rPr>
          <w:t>Available information</w:t>
        </w:r>
        <w:r w:rsidR="008B0B95">
          <w:rPr>
            <w:webHidden/>
          </w:rPr>
          <w:tab/>
        </w:r>
        <w:r w:rsidR="008B0B95">
          <w:rPr>
            <w:webHidden/>
          </w:rPr>
          <w:fldChar w:fldCharType="begin"/>
        </w:r>
        <w:r w:rsidR="008B0B95">
          <w:rPr>
            <w:webHidden/>
          </w:rPr>
          <w:instrText xml:space="preserve"> PAGEREF _Toc14425387 \h </w:instrText>
        </w:r>
        <w:r w:rsidR="008B0B95">
          <w:rPr>
            <w:webHidden/>
          </w:rPr>
        </w:r>
        <w:r w:rsidR="008B0B95">
          <w:rPr>
            <w:webHidden/>
          </w:rPr>
          <w:fldChar w:fldCharType="separate"/>
        </w:r>
        <w:r w:rsidR="008B0B95">
          <w:rPr>
            <w:webHidden/>
          </w:rPr>
          <w:t>29</w:t>
        </w:r>
        <w:r w:rsidR="008B0B95">
          <w:rPr>
            <w:webHidden/>
          </w:rPr>
          <w:fldChar w:fldCharType="end"/>
        </w:r>
      </w:hyperlink>
    </w:p>
    <w:p w14:paraId="3F1AA57E" w14:textId="58F95882" w:rsidR="008B0B95" w:rsidRDefault="00C91DB6">
      <w:pPr>
        <w:pStyle w:val="Indholdsfortegnelse2"/>
        <w:rPr>
          <w:rFonts w:asciiTheme="minorHAnsi" w:eastAsiaTheme="minorEastAsia" w:hAnsiTheme="minorHAnsi" w:cstheme="minorBidi"/>
          <w:sz w:val="22"/>
          <w:szCs w:val="22"/>
          <w:lang w:val="en-GB" w:eastAsia="en-GB"/>
        </w:rPr>
      </w:pPr>
      <w:hyperlink w:anchor="_Toc14425388" w:history="1">
        <w:r w:rsidR="008B0B95" w:rsidRPr="00565C2A">
          <w:rPr>
            <w:rStyle w:val="Hyperlink"/>
          </w:rPr>
          <w:t>5.4</w:t>
        </w:r>
        <w:r w:rsidR="008B0B95">
          <w:rPr>
            <w:rFonts w:asciiTheme="minorHAnsi" w:eastAsiaTheme="minorEastAsia" w:hAnsiTheme="minorHAnsi" w:cstheme="minorBidi"/>
            <w:sz w:val="22"/>
            <w:szCs w:val="22"/>
            <w:lang w:val="en-GB" w:eastAsia="en-GB"/>
          </w:rPr>
          <w:tab/>
        </w:r>
        <w:r w:rsidR="008B0B95" w:rsidRPr="00565C2A">
          <w:rPr>
            <w:rStyle w:val="Hyperlink"/>
          </w:rPr>
          <w:t>Information gaps</w:t>
        </w:r>
        <w:r w:rsidR="008B0B95">
          <w:rPr>
            <w:webHidden/>
          </w:rPr>
          <w:tab/>
        </w:r>
        <w:r w:rsidR="008B0B95">
          <w:rPr>
            <w:webHidden/>
          </w:rPr>
          <w:fldChar w:fldCharType="begin"/>
        </w:r>
        <w:r w:rsidR="008B0B95">
          <w:rPr>
            <w:webHidden/>
          </w:rPr>
          <w:instrText xml:space="preserve"> PAGEREF _Toc14425388 \h </w:instrText>
        </w:r>
        <w:r w:rsidR="008B0B95">
          <w:rPr>
            <w:webHidden/>
          </w:rPr>
        </w:r>
        <w:r w:rsidR="008B0B95">
          <w:rPr>
            <w:webHidden/>
          </w:rPr>
          <w:fldChar w:fldCharType="separate"/>
        </w:r>
        <w:r w:rsidR="008B0B95">
          <w:rPr>
            <w:webHidden/>
          </w:rPr>
          <w:t>29</w:t>
        </w:r>
        <w:r w:rsidR="008B0B95">
          <w:rPr>
            <w:webHidden/>
          </w:rPr>
          <w:fldChar w:fldCharType="end"/>
        </w:r>
      </w:hyperlink>
    </w:p>
    <w:p w14:paraId="7C4B9DEC" w14:textId="43220D48" w:rsidR="008B0B95" w:rsidRDefault="00C91DB6">
      <w:pPr>
        <w:pStyle w:val="Indholdsfortegnelse2"/>
        <w:rPr>
          <w:rFonts w:asciiTheme="minorHAnsi" w:eastAsiaTheme="minorEastAsia" w:hAnsiTheme="minorHAnsi" w:cstheme="minorBidi"/>
          <w:sz w:val="22"/>
          <w:szCs w:val="22"/>
          <w:lang w:val="en-GB" w:eastAsia="en-GB"/>
        </w:rPr>
      </w:pPr>
      <w:hyperlink w:anchor="_Toc14425389" w:history="1">
        <w:r w:rsidR="008B0B95" w:rsidRPr="00565C2A">
          <w:rPr>
            <w:rStyle w:val="Hyperlink"/>
          </w:rPr>
          <w:t>5.5</w:t>
        </w:r>
        <w:r w:rsidR="008B0B95">
          <w:rPr>
            <w:rFonts w:asciiTheme="minorHAnsi" w:eastAsiaTheme="minorEastAsia" w:hAnsiTheme="minorHAnsi" w:cstheme="minorBidi"/>
            <w:sz w:val="22"/>
            <w:szCs w:val="22"/>
            <w:lang w:val="en-GB" w:eastAsia="en-GB"/>
          </w:rPr>
          <w:tab/>
        </w:r>
        <w:r w:rsidR="008B0B95" w:rsidRPr="00565C2A">
          <w:rPr>
            <w:rStyle w:val="Hyperlink"/>
          </w:rPr>
          <w:t>Data collection plan</w:t>
        </w:r>
        <w:r w:rsidR="008B0B95">
          <w:rPr>
            <w:webHidden/>
          </w:rPr>
          <w:tab/>
        </w:r>
        <w:r w:rsidR="008B0B95">
          <w:rPr>
            <w:webHidden/>
          </w:rPr>
          <w:fldChar w:fldCharType="begin"/>
        </w:r>
        <w:r w:rsidR="008B0B95">
          <w:rPr>
            <w:webHidden/>
          </w:rPr>
          <w:instrText xml:space="preserve"> PAGEREF _Toc14425389 \h </w:instrText>
        </w:r>
        <w:r w:rsidR="008B0B95">
          <w:rPr>
            <w:webHidden/>
          </w:rPr>
        </w:r>
        <w:r w:rsidR="008B0B95">
          <w:rPr>
            <w:webHidden/>
          </w:rPr>
          <w:fldChar w:fldCharType="separate"/>
        </w:r>
        <w:r w:rsidR="008B0B95">
          <w:rPr>
            <w:webHidden/>
          </w:rPr>
          <w:t>30</w:t>
        </w:r>
        <w:r w:rsidR="008B0B95">
          <w:rPr>
            <w:webHidden/>
          </w:rPr>
          <w:fldChar w:fldCharType="end"/>
        </w:r>
      </w:hyperlink>
    </w:p>
    <w:p w14:paraId="7BF66E0D" w14:textId="7DAAA614" w:rsidR="008B0B95" w:rsidRDefault="00C91DB6">
      <w:pPr>
        <w:pStyle w:val="Indholdsfortegnelse1"/>
        <w:rPr>
          <w:rFonts w:asciiTheme="minorHAnsi" w:eastAsiaTheme="minorEastAsia" w:hAnsiTheme="minorHAnsi" w:cstheme="minorBidi"/>
          <w:caps w:val="0"/>
          <w:sz w:val="22"/>
          <w:szCs w:val="22"/>
          <w:lang w:val="en-GB" w:eastAsia="en-GB"/>
        </w:rPr>
      </w:pPr>
      <w:hyperlink w:anchor="_Toc14425390" w:history="1">
        <w:r w:rsidR="008B0B95" w:rsidRPr="00565C2A">
          <w:rPr>
            <w:rStyle w:val="Hyperlink"/>
          </w:rPr>
          <w:t>6</w:t>
        </w:r>
        <w:r w:rsidR="008B0B95">
          <w:rPr>
            <w:rFonts w:asciiTheme="minorHAnsi" w:eastAsiaTheme="minorEastAsia" w:hAnsiTheme="minorHAnsi" w:cstheme="minorBidi"/>
            <w:caps w:val="0"/>
            <w:sz w:val="22"/>
            <w:szCs w:val="22"/>
            <w:lang w:val="en-GB" w:eastAsia="en-GB"/>
          </w:rPr>
          <w:tab/>
        </w:r>
        <w:r w:rsidR="008B0B95" w:rsidRPr="00565C2A">
          <w:rPr>
            <w:rStyle w:val="Hyperlink"/>
          </w:rPr>
          <w:t>Pilot Peel Boundary Fault Near Veghel</w:t>
        </w:r>
        <w:r w:rsidR="008B0B95">
          <w:rPr>
            <w:webHidden/>
          </w:rPr>
          <w:tab/>
        </w:r>
        <w:r w:rsidR="008B0B95">
          <w:rPr>
            <w:webHidden/>
          </w:rPr>
          <w:fldChar w:fldCharType="begin"/>
        </w:r>
        <w:r w:rsidR="008B0B95">
          <w:rPr>
            <w:webHidden/>
          </w:rPr>
          <w:instrText xml:space="preserve"> PAGEREF _Toc14425390 \h </w:instrText>
        </w:r>
        <w:r w:rsidR="008B0B95">
          <w:rPr>
            <w:webHidden/>
          </w:rPr>
        </w:r>
        <w:r w:rsidR="008B0B95">
          <w:rPr>
            <w:webHidden/>
          </w:rPr>
          <w:fldChar w:fldCharType="separate"/>
        </w:r>
        <w:r w:rsidR="008B0B95">
          <w:rPr>
            <w:webHidden/>
          </w:rPr>
          <w:t>31</w:t>
        </w:r>
        <w:r w:rsidR="008B0B95">
          <w:rPr>
            <w:webHidden/>
          </w:rPr>
          <w:fldChar w:fldCharType="end"/>
        </w:r>
      </w:hyperlink>
    </w:p>
    <w:p w14:paraId="37E8EAB9" w14:textId="180C5686" w:rsidR="008B0B95" w:rsidRDefault="00C91DB6">
      <w:pPr>
        <w:pStyle w:val="Indholdsfortegnelse2"/>
        <w:rPr>
          <w:rFonts w:asciiTheme="minorHAnsi" w:eastAsiaTheme="minorEastAsia" w:hAnsiTheme="minorHAnsi" w:cstheme="minorBidi"/>
          <w:sz w:val="22"/>
          <w:szCs w:val="22"/>
          <w:lang w:val="en-GB" w:eastAsia="en-GB"/>
        </w:rPr>
      </w:pPr>
      <w:hyperlink w:anchor="_Toc14425391" w:history="1">
        <w:r w:rsidR="008B0B95" w:rsidRPr="00565C2A">
          <w:rPr>
            <w:rStyle w:val="Hyperlink"/>
          </w:rPr>
          <w:t>6.1</w:t>
        </w:r>
        <w:r w:rsidR="008B0B95">
          <w:rPr>
            <w:rFonts w:asciiTheme="minorHAnsi" w:eastAsiaTheme="minorEastAsia" w:hAnsiTheme="minorHAnsi" w:cstheme="minorBidi"/>
            <w:sz w:val="22"/>
            <w:szCs w:val="22"/>
            <w:lang w:val="en-GB" w:eastAsia="en-GB"/>
          </w:rPr>
          <w:tab/>
        </w:r>
        <w:r w:rsidR="008B0B95" w:rsidRPr="00565C2A">
          <w:rPr>
            <w:rStyle w:val="Hyperlink"/>
          </w:rPr>
          <w:t>Introduction of pilot</w:t>
        </w:r>
        <w:r w:rsidR="008B0B95">
          <w:rPr>
            <w:webHidden/>
          </w:rPr>
          <w:tab/>
        </w:r>
        <w:r w:rsidR="008B0B95">
          <w:rPr>
            <w:webHidden/>
          </w:rPr>
          <w:fldChar w:fldCharType="begin"/>
        </w:r>
        <w:r w:rsidR="008B0B95">
          <w:rPr>
            <w:webHidden/>
          </w:rPr>
          <w:instrText xml:space="preserve"> PAGEREF _Toc14425391 \h </w:instrText>
        </w:r>
        <w:r w:rsidR="008B0B95">
          <w:rPr>
            <w:webHidden/>
          </w:rPr>
        </w:r>
        <w:r w:rsidR="008B0B95">
          <w:rPr>
            <w:webHidden/>
          </w:rPr>
          <w:fldChar w:fldCharType="separate"/>
        </w:r>
        <w:r w:rsidR="008B0B95">
          <w:rPr>
            <w:webHidden/>
          </w:rPr>
          <w:t>31</w:t>
        </w:r>
        <w:r w:rsidR="008B0B95">
          <w:rPr>
            <w:webHidden/>
          </w:rPr>
          <w:fldChar w:fldCharType="end"/>
        </w:r>
      </w:hyperlink>
    </w:p>
    <w:p w14:paraId="7D819ABD" w14:textId="683E552C" w:rsidR="008B0B95" w:rsidRDefault="00C91DB6">
      <w:pPr>
        <w:pStyle w:val="Indholdsfortegnelse2"/>
        <w:rPr>
          <w:rFonts w:asciiTheme="minorHAnsi" w:eastAsiaTheme="minorEastAsia" w:hAnsiTheme="minorHAnsi" w:cstheme="minorBidi"/>
          <w:sz w:val="22"/>
          <w:szCs w:val="22"/>
          <w:lang w:val="en-GB" w:eastAsia="en-GB"/>
        </w:rPr>
      </w:pPr>
      <w:hyperlink w:anchor="_Toc14425392" w:history="1">
        <w:r w:rsidR="008B0B95" w:rsidRPr="00565C2A">
          <w:rPr>
            <w:rStyle w:val="Hyperlink"/>
          </w:rPr>
          <w:t>6.2</w:t>
        </w:r>
        <w:r w:rsidR="008B0B95">
          <w:rPr>
            <w:rFonts w:asciiTheme="minorHAnsi" w:eastAsiaTheme="minorEastAsia" w:hAnsiTheme="minorHAnsi" w:cstheme="minorBidi"/>
            <w:sz w:val="22"/>
            <w:szCs w:val="22"/>
            <w:lang w:val="en-GB" w:eastAsia="en-GB"/>
          </w:rPr>
          <w:tab/>
        </w:r>
        <w:r w:rsidR="008B0B95" w:rsidRPr="00565C2A">
          <w:rPr>
            <w:rStyle w:val="Hyperlink"/>
          </w:rPr>
          <w:t>Available infrastructure</w:t>
        </w:r>
        <w:r w:rsidR="008B0B95">
          <w:rPr>
            <w:webHidden/>
          </w:rPr>
          <w:tab/>
        </w:r>
        <w:r w:rsidR="008B0B95">
          <w:rPr>
            <w:webHidden/>
          </w:rPr>
          <w:fldChar w:fldCharType="begin"/>
        </w:r>
        <w:r w:rsidR="008B0B95">
          <w:rPr>
            <w:webHidden/>
          </w:rPr>
          <w:instrText xml:space="preserve"> PAGEREF _Toc14425392 \h </w:instrText>
        </w:r>
        <w:r w:rsidR="008B0B95">
          <w:rPr>
            <w:webHidden/>
          </w:rPr>
        </w:r>
        <w:r w:rsidR="008B0B95">
          <w:rPr>
            <w:webHidden/>
          </w:rPr>
          <w:fldChar w:fldCharType="separate"/>
        </w:r>
        <w:r w:rsidR="008B0B95">
          <w:rPr>
            <w:webHidden/>
          </w:rPr>
          <w:t>33</w:t>
        </w:r>
        <w:r w:rsidR="008B0B95">
          <w:rPr>
            <w:webHidden/>
          </w:rPr>
          <w:fldChar w:fldCharType="end"/>
        </w:r>
      </w:hyperlink>
    </w:p>
    <w:p w14:paraId="701A3533" w14:textId="4B2AD274" w:rsidR="008B0B95" w:rsidRDefault="00C91DB6">
      <w:pPr>
        <w:pStyle w:val="Indholdsfortegnelse2"/>
        <w:rPr>
          <w:rFonts w:asciiTheme="minorHAnsi" w:eastAsiaTheme="minorEastAsia" w:hAnsiTheme="minorHAnsi" w:cstheme="minorBidi"/>
          <w:sz w:val="22"/>
          <w:szCs w:val="22"/>
          <w:lang w:val="en-GB" w:eastAsia="en-GB"/>
        </w:rPr>
      </w:pPr>
      <w:hyperlink w:anchor="_Toc14425393" w:history="1">
        <w:r w:rsidR="008B0B95" w:rsidRPr="00565C2A">
          <w:rPr>
            <w:rStyle w:val="Hyperlink"/>
          </w:rPr>
          <w:t>6.3</w:t>
        </w:r>
        <w:r w:rsidR="008B0B95">
          <w:rPr>
            <w:rFonts w:asciiTheme="minorHAnsi" w:eastAsiaTheme="minorEastAsia" w:hAnsiTheme="minorHAnsi" w:cstheme="minorBidi"/>
            <w:sz w:val="22"/>
            <w:szCs w:val="22"/>
            <w:lang w:val="en-GB" w:eastAsia="en-GB"/>
          </w:rPr>
          <w:tab/>
        </w:r>
        <w:r w:rsidR="008B0B95" w:rsidRPr="00565C2A">
          <w:rPr>
            <w:rStyle w:val="Hyperlink"/>
          </w:rPr>
          <w:t>Available information</w:t>
        </w:r>
        <w:r w:rsidR="008B0B95">
          <w:rPr>
            <w:webHidden/>
          </w:rPr>
          <w:tab/>
        </w:r>
        <w:r w:rsidR="008B0B95">
          <w:rPr>
            <w:webHidden/>
          </w:rPr>
          <w:fldChar w:fldCharType="begin"/>
        </w:r>
        <w:r w:rsidR="008B0B95">
          <w:rPr>
            <w:webHidden/>
          </w:rPr>
          <w:instrText xml:space="preserve"> PAGEREF _Toc14425393 \h </w:instrText>
        </w:r>
        <w:r w:rsidR="008B0B95">
          <w:rPr>
            <w:webHidden/>
          </w:rPr>
        </w:r>
        <w:r w:rsidR="008B0B95">
          <w:rPr>
            <w:webHidden/>
          </w:rPr>
          <w:fldChar w:fldCharType="separate"/>
        </w:r>
        <w:r w:rsidR="008B0B95">
          <w:rPr>
            <w:webHidden/>
          </w:rPr>
          <w:t>34</w:t>
        </w:r>
        <w:r w:rsidR="008B0B95">
          <w:rPr>
            <w:webHidden/>
          </w:rPr>
          <w:fldChar w:fldCharType="end"/>
        </w:r>
      </w:hyperlink>
    </w:p>
    <w:p w14:paraId="3877DF23" w14:textId="39F1B1AE" w:rsidR="008B0B95" w:rsidRDefault="00C91DB6">
      <w:pPr>
        <w:pStyle w:val="Indholdsfortegnelse2"/>
        <w:rPr>
          <w:rFonts w:asciiTheme="minorHAnsi" w:eastAsiaTheme="minorEastAsia" w:hAnsiTheme="minorHAnsi" w:cstheme="minorBidi"/>
          <w:sz w:val="22"/>
          <w:szCs w:val="22"/>
          <w:lang w:val="en-GB" w:eastAsia="en-GB"/>
        </w:rPr>
      </w:pPr>
      <w:hyperlink w:anchor="_Toc14425394" w:history="1">
        <w:r w:rsidR="008B0B95" w:rsidRPr="00565C2A">
          <w:rPr>
            <w:rStyle w:val="Hyperlink"/>
          </w:rPr>
          <w:t>6.4</w:t>
        </w:r>
        <w:r w:rsidR="008B0B95">
          <w:rPr>
            <w:rFonts w:asciiTheme="minorHAnsi" w:eastAsiaTheme="minorEastAsia" w:hAnsiTheme="minorHAnsi" w:cstheme="minorBidi"/>
            <w:sz w:val="22"/>
            <w:szCs w:val="22"/>
            <w:lang w:val="en-GB" w:eastAsia="en-GB"/>
          </w:rPr>
          <w:tab/>
        </w:r>
        <w:r w:rsidR="008B0B95" w:rsidRPr="00565C2A">
          <w:rPr>
            <w:rStyle w:val="Hyperlink"/>
          </w:rPr>
          <w:t>Information gaps</w:t>
        </w:r>
        <w:r w:rsidR="008B0B95">
          <w:rPr>
            <w:webHidden/>
          </w:rPr>
          <w:tab/>
        </w:r>
        <w:r w:rsidR="008B0B95">
          <w:rPr>
            <w:webHidden/>
          </w:rPr>
          <w:fldChar w:fldCharType="begin"/>
        </w:r>
        <w:r w:rsidR="008B0B95">
          <w:rPr>
            <w:webHidden/>
          </w:rPr>
          <w:instrText xml:space="preserve"> PAGEREF _Toc14425394 \h </w:instrText>
        </w:r>
        <w:r w:rsidR="008B0B95">
          <w:rPr>
            <w:webHidden/>
          </w:rPr>
        </w:r>
        <w:r w:rsidR="008B0B95">
          <w:rPr>
            <w:webHidden/>
          </w:rPr>
          <w:fldChar w:fldCharType="separate"/>
        </w:r>
        <w:r w:rsidR="008B0B95">
          <w:rPr>
            <w:webHidden/>
          </w:rPr>
          <w:t>37</w:t>
        </w:r>
        <w:r w:rsidR="008B0B95">
          <w:rPr>
            <w:webHidden/>
          </w:rPr>
          <w:fldChar w:fldCharType="end"/>
        </w:r>
      </w:hyperlink>
    </w:p>
    <w:p w14:paraId="69B8140F" w14:textId="1B83DE2F" w:rsidR="008B0B95" w:rsidRDefault="00C91DB6">
      <w:pPr>
        <w:pStyle w:val="Indholdsfortegnelse2"/>
        <w:rPr>
          <w:rFonts w:asciiTheme="minorHAnsi" w:eastAsiaTheme="minorEastAsia" w:hAnsiTheme="minorHAnsi" w:cstheme="minorBidi"/>
          <w:sz w:val="22"/>
          <w:szCs w:val="22"/>
          <w:lang w:val="en-GB" w:eastAsia="en-GB"/>
        </w:rPr>
      </w:pPr>
      <w:hyperlink w:anchor="_Toc14425395" w:history="1">
        <w:r w:rsidR="008B0B95" w:rsidRPr="00565C2A">
          <w:rPr>
            <w:rStyle w:val="Hyperlink"/>
          </w:rPr>
          <w:t>6.5</w:t>
        </w:r>
        <w:r w:rsidR="008B0B95">
          <w:rPr>
            <w:rFonts w:asciiTheme="minorHAnsi" w:eastAsiaTheme="minorEastAsia" w:hAnsiTheme="minorHAnsi" w:cstheme="minorBidi"/>
            <w:sz w:val="22"/>
            <w:szCs w:val="22"/>
            <w:lang w:val="en-GB" w:eastAsia="en-GB"/>
          </w:rPr>
          <w:tab/>
        </w:r>
        <w:r w:rsidR="008B0B95" w:rsidRPr="00565C2A">
          <w:rPr>
            <w:rStyle w:val="Hyperlink"/>
          </w:rPr>
          <w:t>Data collection plan</w:t>
        </w:r>
        <w:r w:rsidR="008B0B95">
          <w:rPr>
            <w:webHidden/>
          </w:rPr>
          <w:tab/>
        </w:r>
        <w:r w:rsidR="008B0B95">
          <w:rPr>
            <w:webHidden/>
          </w:rPr>
          <w:fldChar w:fldCharType="begin"/>
        </w:r>
        <w:r w:rsidR="008B0B95">
          <w:rPr>
            <w:webHidden/>
          </w:rPr>
          <w:instrText xml:space="preserve"> PAGEREF _Toc14425395 \h </w:instrText>
        </w:r>
        <w:r w:rsidR="008B0B95">
          <w:rPr>
            <w:webHidden/>
          </w:rPr>
        </w:r>
        <w:r w:rsidR="008B0B95">
          <w:rPr>
            <w:webHidden/>
          </w:rPr>
          <w:fldChar w:fldCharType="separate"/>
        </w:r>
        <w:r w:rsidR="008B0B95">
          <w:rPr>
            <w:webHidden/>
          </w:rPr>
          <w:t>37</w:t>
        </w:r>
        <w:r w:rsidR="008B0B95">
          <w:rPr>
            <w:webHidden/>
          </w:rPr>
          <w:fldChar w:fldCharType="end"/>
        </w:r>
      </w:hyperlink>
    </w:p>
    <w:p w14:paraId="55E67530" w14:textId="4CE8C9ED" w:rsidR="008B0B95" w:rsidRDefault="00C91DB6">
      <w:pPr>
        <w:pStyle w:val="Indholdsfortegnelse1"/>
        <w:rPr>
          <w:rFonts w:asciiTheme="minorHAnsi" w:eastAsiaTheme="minorEastAsia" w:hAnsiTheme="minorHAnsi" w:cstheme="minorBidi"/>
          <w:caps w:val="0"/>
          <w:sz w:val="22"/>
          <w:szCs w:val="22"/>
          <w:lang w:val="en-GB" w:eastAsia="en-GB"/>
        </w:rPr>
      </w:pPr>
      <w:hyperlink w:anchor="_Toc14425396" w:history="1">
        <w:r w:rsidR="008B0B95" w:rsidRPr="00565C2A">
          <w:rPr>
            <w:rStyle w:val="Hyperlink"/>
          </w:rPr>
          <w:t>7</w:t>
        </w:r>
        <w:r w:rsidR="008B0B95">
          <w:rPr>
            <w:rFonts w:asciiTheme="minorHAnsi" w:eastAsiaTheme="minorEastAsia" w:hAnsiTheme="minorHAnsi" w:cstheme="minorBidi"/>
            <w:caps w:val="0"/>
            <w:sz w:val="22"/>
            <w:szCs w:val="22"/>
            <w:lang w:val="en-GB" w:eastAsia="en-GB"/>
          </w:rPr>
          <w:tab/>
        </w:r>
        <w:r w:rsidR="008B0B95" w:rsidRPr="00565C2A">
          <w:rPr>
            <w:rStyle w:val="Hyperlink"/>
          </w:rPr>
          <w:t>Pilot Rauw Fault</w:t>
        </w:r>
        <w:r w:rsidR="008B0B95">
          <w:rPr>
            <w:webHidden/>
          </w:rPr>
          <w:tab/>
        </w:r>
        <w:r w:rsidR="008B0B95">
          <w:rPr>
            <w:webHidden/>
          </w:rPr>
          <w:fldChar w:fldCharType="begin"/>
        </w:r>
        <w:r w:rsidR="008B0B95">
          <w:rPr>
            <w:webHidden/>
          </w:rPr>
          <w:instrText xml:space="preserve"> PAGEREF _Toc14425396 \h </w:instrText>
        </w:r>
        <w:r w:rsidR="008B0B95">
          <w:rPr>
            <w:webHidden/>
          </w:rPr>
        </w:r>
        <w:r w:rsidR="008B0B95">
          <w:rPr>
            <w:webHidden/>
          </w:rPr>
          <w:fldChar w:fldCharType="separate"/>
        </w:r>
        <w:r w:rsidR="008B0B95">
          <w:rPr>
            <w:webHidden/>
          </w:rPr>
          <w:t>39</w:t>
        </w:r>
        <w:r w:rsidR="008B0B95">
          <w:rPr>
            <w:webHidden/>
          </w:rPr>
          <w:fldChar w:fldCharType="end"/>
        </w:r>
      </w:hyperlink>
    </w:p>
    <w:p w14:paraId="052AA84E" w14:textId="396A90B1" w:rsidR="008B0B95" w:rsidRDefault="00C91DB6">
      <w:pPr>
        <w:pStyle w:val="Indholdsfortegnelse2"/>
        <w:rPr>
          <w:rFonts w:asciiTheme="minorHAnsi" w:eastAsiaTheme="minorEastAsia" w:hAnsiTheme="minorHAnsi" w:cstheme="minorBidi"/>
          <w:sz w:val="22"/>
          <w:szCs w:val="22"/>
          <w:lang w:val="en-GB" w:eastAsia="en-GB"/>
        </w:rPr>
      </w:pPr>
      <w:hyperlink w:anchor="_Toc14425397" w:history="1">
        <w:r w:rsidR="008B0B95" w:rsidRPr="00565C2A">
          <w:rPr>
            <w:rStyle w:val="Hyperlink"/>
          </w:rPr>
          <w:t>7.1</w:t>
        </w:r>
        <w:r w:rsidR="008B0B95">
          <w:rPr>
            <w:rFonts w:asciiTheme="minorHAnsi" w:eastAsiaTheme="minorEastAsia" w:hAnsiTheme="minorHAnsi" w:cstheme="minorBidi"/>
            <w:sz w:val="22"/>
            <w:szCs w:val="22"/>
            <w:lang w:val="en-GB" w:eastAsia="en-GB"/>
          </w:rPr>
          <w:tab/>
        </w:r>
        <w:r w:rsidR="008B0B95" w:rsidRPr="00565C2A">
          <w:rPr>
            <w:rStyle w:val="Hyperlink"/>
          </w:rPr>
          <w:t>Introduction of pilot</w:t>
        </w:r>
        <w:r w:rsidR="008B0B95">
          <w:rPr>
            <w:webHidden/>
          </w:rPr>
          <w:tab/>
        </w:r>
        <w:r w:rsidR="008B0B95">
          <w:rPr>
            <w:webHidden/>
          </w:rPr>
          <w:fldChar w:fldCharType="begin"/>
        </w:r>
        <w:r w:rsidR="008B0B95">
          <w:rPr>
            <w:webHidden/>
          </w:rPr>
          <w:instrText xml:space="preserve"> PAGEREF _Toc14425397 \h </w:instrText>
        </w:r>
        <w:r w:rsidR="008B0B95">
          <w:rPr>
            <w:webHidden/>
          </w:rPr>
        </w:r>
        <w:r w:rsidR="008B0B95">
          <w:rPr>
            <w:webHidden/>
          </w:rPr>
          <w:fldChar w:fldCharType="separate"/>
        </w:r>
        <w:r w:rsidR="008B0B95">
          <w:rPr>
            <w:webHidden/>
          </w:rPr>
          <w:t>39</w:t>
        </w:r>
        <w:r w:rsidR="008B0B95">
          <w:rPr>
            <w:webHidden/>
          </w:rPr>
          <w:fldChar w:fldCharType="end"/>
        </w:r>
      </w:hyperlink>
    </w:p>
    <w:p w14:paraId="50876119" w14:textId="42ABE4F9" w:rsidR="008B0B95" w:rsidRDefault="00C91DB6">
      <w:pPr>
        <w:pStyle w:val="Indholdsfortegnelse2"/>
        <w:rPr>
          <w:rFonts w:asciiTheme="minorHAnsi" w:eastAsiaTheme="minorEastAsia" w:hAnsiTheme="minorHAnsi" w:cstheme="minorBidi"/>
          <w:sz w:val="22"/>
          <w:szCs w:val="22"/>
          <w:lang w:val="en-GB" w:eastAsia="en-GB"/>
        </w:rPr>
      </w:pPr>
      <w:hyperlink w:anchor="_Toc14425398" w:history="1">
        <w:r w:rsidR="008B0B95" w:rsidRPr="00565C2A">
          <w:rPr>
            <w:rStyle w:val="Hyperlink"/>
          </w:rPr>
          <w:t>7.2</w:t>
        </w:r>
        <w:r w:rsidR="008B0B95">
          <w:rPr>
            <w:rFonts w:asciiTheme="minorHAnsi" w:eastAsiaTheme="minorEastAsia" w:hAnsiTheme="minorHAnsi" w:cstheme="minorBidi"/>
            <w:sz w:val="22"/>
            <w:szCs w:val="22"/>
            <w:lang w:val="en-GB" w:eastAsia="en-GB"/>
          </w:rPr>
          <w:tab/>
        </w:r>
        <w:r w:rsidR="008B0B95" w:rsidRPr="00565C2A">
          <w:rPr>
            <w:rStyle w:val="Hyperlink"/>
          </w:rPr>
          <w:t>Available infrastructure</w:t>
        </w:r>
        <w:r w:rsidR="008B0B95">
          <w:rPr>
            <w:webHidden/>
          </w:rPr>
          <w:tab/>
        </w:r>
        <w:r w:rsidR="008B0B95">
          <w:rPr>
            <w:webHidden/>
          </w:rPr>
          <w:fldChar w:fldCharType="begin"/>
        </w:r>
        <w:r w:rsidR="008B0B95">
          <w:rPr>
            <w:webHidden/>
          </w:rPr>
          <w:instrText xml:space="preserve"> PAGEREF _Toc14425398 \h </w:instrText>
        </w:r>
        <w:r w:rsidR="008B0B95">
          <w:rPr>
            <w:webHidden/>
          </w:rPr>
        </w:r>
        <w:r w:rsidR="008B0B95">
          <w:rPr>
            <w:webHidden/>
          </w:rPr>
          <w:fldChar w:fldCharType="separate"/>
        </w:r>
        <w:r w:rsidR="008B0B95">
          <w:rPr>
            <w:webHidden/>
          </w:rPr>
          <w:t>40</w:t>
        </w:r>
        <w:r w:rsidR="008B0B95">
          <w:rPr>
            <w:webHidden/>
          </w:rPr>
          <w:fldChar w:fldCharType="end"/>
        </w:r>
      </w:hyperlink>
    </w:p>
    <w:p w14:paraId="74A4CEBA" w14:textId="4CD9932F" w:rsidR="008B0B95" w:rsidRDefault="00C91DB6">
      <w:pPr>
        <w:pStyle w:val="Indholdsfortegnelse2"/>
        <w:rPr>
          <w:rFonts w:asciiTheme="minorHAnsi" w:eastAsiaTheme="minorEastAsia" w:hAnsiTheme="minorHAnsi" w:cstheme="minorBidi"/>
          <w:sz w:val="22"/>
          <w:szCs w:val="22"/>
          <w:lang w:val="en-GB" w:eastAsia="en-GB"/>
        </w:rPr>
      </w:pPr>
      <w:hyperlink w:anchor="_Toc14425399" w:history="1">
        <w:r w:rsidR="008B0B95" w:rsidRPr="00565C2A">
          <w:rPr>
            <w:rStyle w:val="Hyperlink"/>
          </w:rPr>
          <w:t>7.3</w:t>
        </w:r>
        <w:r w:rsidR="008B0B95">
          <w:rPr>
            <w:rFonts w:asciiTheme="minorHAnsi" w:eastAsiaTheme="minorEastAsia" w:hAnsiTheme="minorHAnsi" w:cstheme="minorBidi"/>
            <w:sz w:val="22"/>
            <w:szCs w:val="22"/>
            <w:lang w:val="en-GB" w:eastAsia="en-GB"/>
          </w:rPr>
          <w:tab/>
        </w:r>
        <w:r w:rsidR="008B0B95" w:rsidRPr="00565C2A">
          <w:rPr>
            <w:rStyle w:val="Hyperlink"/>
          </w:rPr>
          <w:t>Available information</w:t>
        </w:r>
        <w:r w:rsidR="008B0B95">
          <w:rPr>
            <w:webHidden/>
          </w:rPr>
          <w:tab/>
        </w:r>
        <w:r w:rsidR="008B0B95">
          <w:rPr>
            <w:webHidden/>
          </w:rPr>
          <w:fldChar w:fldCharType="begin"/>
        </w:r>
        <w:r w:rsidR="008B0B95">
          <w:rPr>
            <w:webHidden/>
          </w:rPr>
          <w:instrText xml:space="preserve"> PAGEREF _Toc14425399 \h </w:instrText>
        </w:r>
        <w:r w:rsidR="008B0B95">
          <w:rPr>
            <w:webHidden/>
          </w:rPr>
        </w:r>
        <w:r w:rsidR="008B0B95">
          <w:rPr>
            <w:webHidden/>
          </w:rPr>
          <w:fldChar w:fldCharType="separate"/>
        </w:r>
        <w:r w:rsidR="008B0B95">
          <w:rPr>
            <w:webHidden/>
          </w:rPr>
          <w:t>43</w:t>
        </w:r>
        <w:r w:rsidR="008B0B95">
          <w:rPr>
            <w:webHidden/>
          </w:rPr>
          <w:fldChar w:fldCharType="end"/>
        </w:r>
      </w:hyperlink>
    </w:p>
    <w:p w14:paraId="719B9CD2" w14:textId="7BCA1142" w:rsidR="008B0B95" w:rsidRDefault="00C91DB6">
      <w:pPr>
        <w:pStyle w:val="Indholdsfortegnelse2"/>
        <w:rPr>
          <w:rFonts w:asciiTheme="minorHAnsi" w:eastAsiaTheme="minorEastAsia" w:hAnsiTheme="minorHAnsi" w:cstheme="minorBidi"/>
          <w:sz w:val="22"/>
          <w:szCs w:val="22"/>
          <w:lang w:val="en-GB" w:eastAsia="en-GB"/>
        </w:rPr>
      </w:pPr>
      <w:hyperlink w:anchor="_Toc14425400" w:history="1">
        <w:r w:rsidR="008B0B95" w:rsidRPr="00565C2A">
          <w:rPr>
            <w:rStyle w:val="Hyperlink"/>
          </w:rPr>
          <w:t>7.4</w:t>
        </w:r>
        <w:r w:rsidR="008B0B95">
          <w:rPr>
            <w:rFonts w:asciiTheme="minorHAnsi" w:eastAsiaTheme="minorEastAsia" w:hAnsiTheme="minorHAnsi" w:cstheme="minorBidi"/>
            <w:sz w:val="22"/>
            <w:szCs w:val="22"/>
            <w:lang w:val="en-GB" w:eastAsia="en-GB"/>
          </w:rPr>
          <w:tab/>
        </w:r>
        <w:r w:rsidR="008B0B95" w:rsidRPr="00565C2A">
          <w:rPr>
            <w:rStyle w:val="Hyperlink"/>
          </w:rPr>
          <w:t>Information gaps</w:t>
        </w:r>
        <w:r w:rsidR="008B0B95">
          <w:rPr>
            <w:webHidden/>
          </w:rPr>
          <w:tab/>
        </w:r>
        <w:r w:rsidR="008B0B95">
          <w:rPr>
            <w:webHidden/>
          </w:rPr>
          <w:fldChar w:fldCharType="begin"/>
        </w:r>
        <w:r w:rsidR="008B0B95">
          <w:rPr>
            <w:webHidden/>
          </w:rPr>
          <w:instrText xml:space="preserve"> PAGEREF _Toc14425400 \h </w:instrText>
        </w:r>
        <w:r w:rsidR="008B0B95">
          <w:rPr>
            <w:webHidden/>
          </w:rPr>
        </w:r>
        <w:r w:rsidR="008B0B95">
          <w:rPr>
            <w:webHidden/>
          </w:rPr>
          <w:fldChar w:fldCharType="separate"/>
        </w:r>
        <w:r w:rsidR="008B0B95">
          <w:rPr>
            <w:webHidden/>
          </w:rPr>
          <w:t>43</w:t>
        </w:r>
        <w:r w:rsidR="008B0B95">
          <w:rPr>
            <w:webHidden/>
          </w:rPr>
          <w:fldChar w:fldCharType="end"/>
        </w:r>
      </w:hyperlink>
    </w:p>
    <w:p w14:paraId="79DC09D0" w14:textId="213DC484" w:rsidR="008B0B95" w:rsidRDefault="00C91DB6">
      <w:pPr>
        <w:pStyle w:val="Indholdsfortegnelse2"/>
        <w:rPr>
          <w:rFonts w:asciiTheme="minorHAnsi" w:eastAsiaTheme="minorEastAsia" w:hAnsiTheme="minorHAnsi" w:cstheme="minorBidi"/>
          <w:sz w:val="22"/>
          <w:szCs w:val="22"/>
          <w:lang w:val="en-GB" w:eastAsia="en-GB"/>
        </w:rPr>
      </w:pPr>
      <w:hyperlink w:anchor="_Toc14425401" w:history="1">
        <w:r w:rsidR="008B0B95" w:rsidRPr="00565C2A">
          <w:rPr>
            <w:rStyle w:val="Hyperlink"/>
          </w:rPr>
          <w:t>7.5</w:t>
        </w:r>
        <w:r w:rsidR="008B0B95">
          <w:rPr>
            <w:rFonts w:asciiTheme="minorHAnsi" w:eastAsiaTheme="minorEastAsia" w:hAnsiTheme="minorHAnsi" w:cstheme="minorBidi"/>
            <w:sz w:val="22"/>
            <w:szCs w:val="22"/>
            <w:lang w:val="en-GB" w:eastAsia="en-GB"/>
          </w:rPr>
          <w:tab/>
        </w:r>
        <w:r w:rsidR="008B0B95" w:rsidRPr="00565C2A">
          <w:rPr>
            <w:rStyle w:val="Hyperlink"/>
          </w:rPr>
          <w:t>Data collection plan</w:t>
        </w:r>
        <w:r w:rsidR="008B0B95">
          <w:rPr>
            <w:webHidden/>
          </w:rPr>
          <w:tab/>
        </w:r>
        <w:r w:rsidR="008B0B95">
          <w:rPr>
            <w:webHidden/>
          </w:rPr>
          <w:fldChar w:fldCharType="begin"/>
        </w:r>
        <w:r w:rsidR="008B0B95">
          <w:rPr>
            <w:webHidden/>
          </w:rPr>
          <w:instrText xml:space="preserve"> PAGEREF _Toc14425401 \h </w:instrText>
        </w:r>
        <w:r w:rsidR="008B0B95">
          <w:rPr>
            <w:webHidden/>
          </w:rPr>
        </w:r>
        <w:r w:rsidR="008B0B95">
          <w:rPr>
            <w:webHidden/>
          </w:rPr>
          <w:fldChar w:fldCharType="separate"/>
        </w:r>
        <w:r w:rsidR="008B0B95">
          <w:rPr>
            <w:webHidden/>
          </w:rPr>
          <w:t>43</w:t>
        </w:r>
        <w:r w:rsidR="008B0B95">
          <w:rPr>
            <w:webHidden/>
          </w:rPr>
          <w:fldChar w:fldCharType="end"/>
        </w:r>
      </w:hyperlink>
    </w:p>
    <w:p w14:paraId="09717590" w14:textId="156FDE31" w:rsidR="008B0B95" w:rsidRDefault="00C91DB6">
      <w:pPr>
        <w:pStyle w:val="Indholdsfortegnelse1"/>
        <w:rPr>
          <w:rFonts w:asciiTheme="minorHAnsi" w:eastAsiaTheme="minorEastAsia" w:hAnsiTheme="minorHAnsi" w:cstheme="minorBidi"/>
          <w:caps w:val="0"/>
          <w:sz w:val="22"/>
          <w:szCs w:val="22"/>
          <w:lang w:val="en-GB" w:eastAsia="en-GB"/>
        </w:rPr>
      </w:pPr>
      <w:hyperlink w:anchor="_Toc14425402" w:history="1">
        <w:r w:rsidR="008B0B95" w:rsidRPr="00565C2A">
          <w:rPr>
            <w:rStyle w:val="Hyperlink"/>
          </w:rPr>
          <w:t>8</w:t>
        </w:r>
        <w:r w:rsidR="008B0B95">
          <w:rPr>
            <w:rFonts w:asciiTheme="minorHAnsi" w:eastAsiaTheme="minorEastAsia" w:hAnsiTheme="minorHAnsi" w:cstheme="minorBidi"/>
            <w:caps w:val="0"/>
            <w:sz w:val="22"/>
            <w:szCs w:val="22"/>
            <w:lang w:val="en-GB" w:eastAsia="en-GB"/>
          </w:rPr>
          <w:tab/>
        </w:r>
        <w:r w:rsidR="008B0B95" w:rsidRPr="00565C2A">
          <w:rPr>
            <w:rStyle w:val="Hyperlink"/>
          </w:rPr>
          <w:t>Concluding Remarks</w:t>
        </w:r>
        <w:r w:rsidR="008B0B95">
          <w:rPr>
            <w:webHidden/>
          </w:rPr>
          <w:tab/>
        </w:r>
        <w:r w:rsidR="008B0B95">
          <w:rPr>
            <w:webHidden/>
          </w:rPr>
          <w:fldChar w:fldCharType="begin"/>
        </w:r>
        <w:r w:rsidR="008B0B95">
          <w:rPr>
            <w:webHidden/>
          </w:rPr>
          <w:instrText xml:space="preserve"> PAGEREF _Toc14425402 \h </w:instrText>
        </w:r>
        <w:r w:rsidR="008B0B95">
          <w:rPr>
            <w:webHidden/>
          </w:rPr>
        </w:r>
        <w:r w:rsidR="008B0B95">
          <w:rPr>
            <w:webHidden/>
          </w:rPr>
          <w:fldChar w:fldCharType="separate"/>
        </w:r>
        <w:r w:rsidR="008B0B95">
          <w:rPr>
            <w:webHidden/>
          </w:rPr>
          <w:t>44</w:t>
        </w:r>
        <w:r w:rsidR="008B0B95">
          <w:rPr>
            <w:webHidden/>
          </w:rPr>
          <w:fldChar w:fldCharType="end"/>
        </w:r>
      </w:hyperlink>
    </w:p>
    <w:p w14:paraId="60B7D8AC" w14:textId="50DDABD6" w:rsidR="008B0B95" w:rsidRDefault="00C91DB6">
      <w:pPr>
        <w:pStyle w:val="Indholdsfortegnelse1"/>
        <w:rPr>
          <w:rFonts w:asciiTheme="minorHAnsi" w:eastAsiaTheme="minorEastAsia" w:hAnsiTheme="minorHAnsi" w:cstheme="minorBidi"/>
          <w:caps w:val="0"/>
          <w:sz w:val="22"/>
          <w:szCs w:val="22"/>
          <w:lang w:val="en-GB" w:eastAsia="en-GB"/>
        </w:rPr>
      </w:pPr>
      <w:hyperlink w:anchor="_Toc14425403" w:history="1">
        <w:r w:rsidR="008B0B95" w:rsidRPr="00565C2A">
          <w:rPr>
            <w:rStyle w:val="Hyperlink"/>
          </w:rPr>
          <w:t>9</w:t>
        </w:r>
        <w:r w:rsidR="008B0B95">
          <w:rPr>
            <w:rFonts w:asciiTheme="minorHAnsi" w:eastAsiaTheme="minorEastAsia" w:hAnsiTheme="minorHAnsi" w:cstheme="minorBidi"/>
            <w:caps w:val="0"/>
            <w:sz w:val="22"/>
            <w:szCs w:val="22"/>
            <w:lang w:val="en-GB" w:eastAsia="en-GB"/>
          </w:rPr>
          <w:tab/>
        </w:r>
        <w:r w:rsidR="008B0B95" w:rsidRPr="00565C2A">
          <w:rPr>
            <w:rStyle w:val="Hyperlink"/>
          </w:rPr>
          <w:t>REFERENCES</w:t>
        </w:r>
        <w:r w:rsidR="008B0B95">
          <w:rPr>
            <w:webHidden/>
          </w:rPr>
          <w:tab/>
        </w:r>
        <w:r w:rsidR="008B0B95">
          <w:rPr>
            <w:webHidden/>
          </w:rPr>
          <w:fldChar w:fldCharType="begin"/>
        </w:r>
        <w:r w:rsidR="008B0B95">
          <w:rPr>
            <w:webHidden/>
          </w:rPr>
          <w:instrText xml:space="preserve"> PAGEREF _Toc14425403 \h </w:instrText>
        </w:r>
        <w:r w:rsidR="008B0B95">
          <w:rPr>
            <w:webHidden/>
          </w:rPr>
        </w:r>
        <w:r w:rsidR="008B0B95">
          <w:rPr>
            <w:webHidden/>
          </w:rPr>
          <w:fldChar w:fldCharType="separate"/>
        </w:r>
        <w:r w:rsidR="008B0B95">
          <w:rPr>
            <w:webHidden/>
          </w:rPr>
          <w:t>45</w:t>
        </w:r>
        <w:r w:rsidR="008B0B95">
          <w:rPr>
            <w:webHidden/>
          </w:rPr>
          <w:fldChar w:fldCharType="end"/>
        </w:r>
      </w:hyperlink>
    </w:p>
    <w:p w14:paraId="670154D8" w14:textId="2F1383F3" w:rsidR="00360ACA" w:rsidRPr="006F1EEC" w:rsidRDefault="00604EA0" w:rsidP="00360ACA">
      <w:pPr>
        <w:rPr>
          <w:rFonts w:ascii="Arial" w:hAnsi="Arial" w:cs="Arial"/>
          <w:sz w:val="22"/>
          <w:szCs w:val="22"/>
        </w:rPr>
      </w:pPr>
      <w:r>
        <w:rPr>
          <w:rFonts w:ascii="Arial" w:hAnsi="Arial" w:cs="Arial"/>
          <w:caps/>
          <w:szCs w:val="22"/>
        </w:rPr>
        <w:fldChar w:fldCharType="end"/>
      </w:r>
    </w:p>
    <w:p w14:paraId="3920C9CC" w14:textId="77777777" w:rsidR="00360ACA" w:rsidRPr="006F1EEC" w:rsidRDefault="00360ACA" w:rsidP="00360ACA">
      <w:pPr>
        <w:rPr>
          <w:rFonts w:ascii="Arial" w:hAnsi="Arial" w:cs="Arial"/>
          <w:sz w:val="22"/>
          <w:szCs w:val="22"/>
        </w:rPr>
      </w:pPr>
    </w:p>
    <w:p w14:paraId="39EA5D18" w14:textId="77777777" w:rsidR="00360ACA" w:rsidRPr="006F1EEC" w:rsidRDefault="00360ACA" w:rsidP="00360ACA">
      <w:pPr>
        <w:rPr>
          <w:rFonts w:ascii="Arial" w:hAnsi="Arial" w:cs="Arial"/>
          <w:sz w:val="22"/>
          <w:szCs w:val="22"/>
        </w:rPr>
      </w:pPr>
    </w:p>
    <w:p w14:paraId="6F022E38" w14:textId="77777777" w:rsidR="00360ACA" w:rsidRPr="006F1EEC" w:rsidRDefault="00360ACA" w:rsidP="00360ACA">
      <w:pPr>
        <w:rPr>
          <w:rFonts w:ascii="Arial" w:hAnsi="Arial" w:cs="Arial"/>
          <w:sz w:val="22"/>
          <w:szCs w:val="22"/>
        </w:rPr>
        <w:sectPr w:rsidR="00360ACA" w:rsidRPr="006F1EEC" w:rsidSect="00360ACA">
          <w:pgSz w:w="11907" w:h="16834" w:code="9"/>
          <w:pgMar w:top="851" w:right="992" w:bottom="1134" w:left="1588" w:header="340" w:footer="680" w:gutter="0"/>
          <w:pgNumType w:start="3"/>
          <w:cols w:space="720"/>
        </w:sectPr>
      </w:pPr>
    </w:p>
    <w:p w14:paraId="41B405A4" w14:textId="16C0E2E2" w:rsidR="00360ACA" w:rsidRPr="006F1EEC" w:rsidRDefault="00360ACA" w:rsidP="00360ACA">
      <w:pPr>
        <w:contextualSpacing/>
        <w:rPr>
          <w:rFonts w:asciiTheme="majorHAnsi" w:eastAsiaTheme="majorEastAsia" w:hAnsiTheme="majorHAnsi" w:cstheme="majorBidi"/>
          <w:spacing w:val="-10"/>
          <w:kern w:val="28"/>
          <w:sz w:val="56"/>
          <w:szCs w:val="56"/>
        </w:rPr>
      </w:pPr>
      <w:bookmarkStart w:id="2" w:name="_Toc526509508"/>
      <w:r w:rsidRPr="006F1EEC">
        <w:rPr>
          <w:rFonts w:asciiTheme="majorHAnsi" w:eastAsia="Cambria" w:hAnsiTheme="majorHAnsi" w:cstheme="majorBidi"/>
          <w:spacing w:val="-10"/>
          <w:kern w:val="28"/>
          <w:sz w:val="56"/>
          <w:szCs w:val="56"/>
        </w:rPr>
        <w:t>Executive Summary</w:t>
      </w:r>
      <w:bookmarkEnd w:id="2"/>
      <w:r w:rsidRPr="006F1EEC">
        <w:rPr>
          <w:rFonts w:asciiTheme="majorHAnsi" w:eastAsia="Cambria" w:hAnsiTheme="majorHAnsi" w:cstheme="majorBidi"/>
          <w:spacing w:val="-10"/>
          <w:kern w:val="28"/>
          <w:sz w:val="56"/>
          <w:szCs w:val="56"/>
        </w:rPr>
        <w:t xml:space="preserve"> </w:t>
      </w:r>
    </w:p>
    <w:p w14:paraId="3249429D" w14:textId="77777777" w:rsidR="00360ACA" w:rsidRPr="006F1EEC" w:rsidRDefault="00360ACA" w:rsidP="00360ACA">
      <w:pPr>
        <w:ind w:left="3792"/>
        <w:rPr>
          <w:rFonts w:asciiTheme="minorHAnsi" w:hAnsiTheme="minorHAnsi"/>
          <w:sz w:val="22"/>
        </w:rPr>
      </w:pPr>
      <w:r w:rsidRPr="006F1EEC">
        <w:rPr>
          <w:rFonts w:asciiTheme="minorHAnsi" w:hAnsiTheme="minorHAnsi"/>
          <w:sz w:val="22"/>
        </w:rPr>
        <w:t xml:space="preserve"> </w:t>
      </w:r>
    </w:p>
    <w:p w14:paraId="250D870F" w14:textId="401D6FE2" w:rsidR="00B9071F" w:rsidRPr="00AE6704" w:rsidRDefault="00B9071F" w:rsidP="00AE6704">
      <w:pPr>
        <w:spacing w:after="240"/>
        <w:rPr>
          <w:szCs w:val="24"/>
        </w:rPr>
      </w:pPr>
      <w:r w:rsidRPr="00AE6704">
        <w:rPr>
          <w:szCs w:val="24"/>
        </w:rPr>
        <w:t>This report is the first deliverable for Work Package 3 of the VoGERA project, “Vulnerability of Shallow Groundwater Resources to Deep Sub-surface Energy-related Activities”. This project is part of the Groundwater Theme of the EU’s Horizon 2020 research and innovation programme “GeoERA” project, under grant agreement No 731166. The VoGERA project contributes to societal challenges recognised as part of the Horizon 2020 programme; 3: Secure, clean and effi</w:t>
      </w:r>
      <w:r w:rsidR="00B920E2" w:rsidRPr="00AE6704">
        <w:rPr>
          <w:szCs w:val="24"/>
        </w:rPr>
        <w:t xml:space="preserve">cient energy and </w:t>
      </w:r>
      <w:r w:rsidRPr="00AE6704">
        <w:rPr>
          <w:szCs w:val="24"/>
        </w:rPr>
        <w:t xml:space="preserve">5: Climate action, environment, resource efficiency and raw materials.   </w:t>
      </w:r>
    </w:p>
    <w:p w14:paraId="766F4C46" w14:textId="77777777" w:rsidR="00B9071F" w:rsidRPr="00AE6704" w:rsidRDefault="00B9071F" w:rsidP="00B9071F">
      <w:pPr>
        <w:spacing w:after="240"/>
        <w:rPr>
          <w:szCs w:val="24"/>
        </w:rPr>
      </w:pPr>
      <w:r w:rsidRPr="00AE6704">
        <w:rPr>
          <w:szCs w:val="24"/>
        </w:rPr>
        <w:t>The VoGERA project is gathering scientific evidence to investigate the relationship between industrial activity in the deep sub-surface and shallow groundwater resources, in a European context. The project considers the possible impacts on groundwater from a range of sub-surface energy activities (geothermal energy, conventional oil and gas, unconventional oil and gas exploitation, sub-surface energy storage and disposal of energy-related waste such as CO</w:t>
      </w:r>
      <w:r w:rsidRPr="00AE6704">
        <w:rPr>
          <w:szCs w:val="24"/>
          <w:vertAlign w:val="subscript"/>
        </w:rPr>
        <w:t>2</w:t>
      </w:r>
      <w:r w:rsidRPr="00AE6704">
        <w:rPr>
          <w:szCs w:val="24"/>
        </w:rPr>
        <w:t>) in a consistent manner. An approach to evaluating groundwater vulnerability from sub-surface activities that can be applied across Europe will be developed using this evidence, and the in-depth understanding gained will be used to improve awareness of these issues with decision makers and the public. This will aid better sub-surface spatial planning and policy development for deep sub-surface energy-related activities in relation to groundwater, thus allowing for the simultaneous protection of groundwater for future generations whilst recognizing the need for economic development. A strong link with stakeholders will ensure an approach that is fit for purpose and has maximum impact.</w:t>
      </w:r>
    </w:p>
    <w:p w14:paraId="26CE0B53" w14:textId="795B3D85" w:rsidR="00B9071F" w:rsidRPr="00AE6704" w:rsidRDefault="00B9071F" w:rsidP="00B9071F">
      <w:pPr>
        <w:rPr>
          <w:szCs w:val="24"/>
        </w:rPr>
      </w:pPr>
      <w:r w:rsidRPr="00AE6704">
        <w:rPr>
          <w:szCs w:val="24"/>
        </w:rPr>
        <w:t xml:space="preserve">This work package, “process understanding” uses four case study examples to demonstrate and understand particular processes and pathways between deep energy activities. This report, “Technical report on evidence for potential pathways for groundwater contamination from subsurface energy activities and investigation/ data collection plan technical report” is the first technical report for WP3 and includes review of processes and pathways from deep sub-surface energy activities to shallow groundwater, including assessing the infrastructure and data available </w:t>
      </w:r>
      <w:r w:rsidR="00E71C17" w:rsidRPr="00AE6704">
        <w:rPr>
          <w:szCs w:val="24"/>
        </w:rPr>
        <w:t>at the pilot areas. Based on</w:t>
      </w:r>
      <w:r w:rsidRPr="00AE6704">
        <w:rPr>
          <w:szCs w:val="24"/>
        </w:rPr>
        <w:t xml:space="preserve"> this review, further data collection and hydrogeological and geophysical investigations have been planned for the pilot sites over the following year (2019/20). The results will be combined with the existing data at the end of this period in an analysis of the processes and pathways. Following this, groundwater vulnerability assessments illustrated with maps/geological models to show shallow groundwater vulnerability at the pilot study sites, will be produced. </w:t>
      </w:r>
    </w:p>
    <w:p w14:paraId="48D0DC26" w14:textId="77777777" w:rsidR="00AE6704" w:rsidRDefault="00AE6704" w:rsidP="00AC20DC">
      <w:pPr>
        <w:rPr>
          <w:szCs w:val="24"/>
        </w:rPr>
      </w:pPr>
    </w:p>
    <w:p w14:paraId="2319F4D3" w14:textId="0C41867B" w:rsidR="00360ACA" w:rsidRPr="00AE6704" w:rsidRDefault="00B9071F" w:rsidP="00AC20DC">
      <w:pPr>
        <w:rPr>
          <w:szCs w:val="24"/>
        </w:rPr>
      </w:pPr>
      <w:r w:rsidRPr="00AE6704">
        <w:rPr>
          <w:szCs w:val="24"/>
        </w:rPr>
        <w:t xml:space="preserve">This report first summarises the pathways and processes that are occurring in the subsurface associated with different energy activities. It includes natural pathways such as faults, and anthropogenic pathways such as boreholes. In addition, it recognizes that the specific processes being undertaken with each energy activity – injection, abstraction, or a combination of both, influence subsurface pressures and are therefore important to consider for potential drivers for groundwater contamination. Each pilot study – Pannonian Basin (Hungary), Vale of Pickering (UK), Peel Boundary fault, Veghel (the Netherlands), Rauw Fault (Belgium) is then described with an overview of the geology and hydrogeology, existing infrastructure and available information, and the data collection plan for the following year. </w:t>
      </w:r>
    </w:p>
    <w:p w14:paraId="352DB6E4" w14:textId="77777777" w:rsidR="003E3FB2" w:rsidRPr="006F1EEC" w:rsidRDefault="003E3FB2" w:rsidP="006F7C41">
      <w:pPr>
        <w:spacing w:after="194" w:line="278" w:lineRule="auto"/>
        <w:ind w:left="5" w:right="25" w:hanging="10"/>
        <w:rPr>
          <w:rFonts w:asciiTheme="minorHAnsi" w:hAnsiTheme="minorHAnsi"/>
          <w:sz w:val="22"/>
          <w:szCs w:val="22"/>
        </w:rPr>
      </w:pPr>
    </w:p>
    <w:p w14:paraId="35CE1615" w14:textId="3E31E185" w:rsidR="003E3FB2" w:rsidRPr="006F1EEC" w:rsidRDefault="003E3FB2">
      <w:pPr>
        <w:jc w:val="left"/>
        <w:rPr>
          <w:rFonts w:asciiTheme="minorHAnsi" w:hAnsiTheme="minorHAnsi"/>
          <w:sz w:val="22"/>
          <w:szCs w:val="22"/>
        </w:rPr>
      </w:pPr>
      <w:r w:rsidRPr="006F1EEC">
        <w:rPr>
          <w:rFonts w:asciiTheme="minorHAnsi" w:hAnsiTheme="minorHAnsi"/>
          <w:sz w:val="22"/>
          <w:szCs w:val="22"/>
        </w:rPr>
        <w:br w:type="page"/>
      </w:r>
    </w:p>
    <w:p w14:paraId="0379AD16" w14:textId="77777777" w:rsidR="003E3FB2" w:rsidRPr="006F1EEC" w:rsidRDefault="003E3FB2" w:rsidP="003E3FB2">
      <w:pPr>
        <w:pStyle w:val="Overskrift1"/>
      </w:pPr>
      <w:bookmarkStart w:id="3" w:name="_Toc527472380"/>
      <w:bookmarkStart w:id="4" w:name="_Toc14425367"/>
      <w:r w:rsidRPr="006F1EEC">
        <w:t>Introduction</w:t>
      </w:r>
      <w:bookmarkEnd w:id="3"/>
      <w:bookmarkEnd w:id="4"/>
    </w:p>
    <w:p w14:paraId="06C5B909" w14:textId="6B45EEC3" w:rsidR="003E3FB2" w:rsidRPr="006F1EEC" w:rsidRDefault="003E3FB2" w:rsidP="00AC20DC">
      <w:r w:rsidRPr="006F1EEC">
        <w:t xml:space="preserve">The overall aim of the VoGERA project is to provide data for the development of conceptual models of shallow groundwater vulnerability to deep sub-surface energy activities using existing data, information and experience of GeoERA partners and from previous projects. The models will be validated at a number of pilot study </w:t>
      </w:r>
      <w:r w:rsidRPr="007736A6">
        <w:t>sites.</w:t>
      </w:r>
    </w:p>
    <w:p w14:paraId="6A5840FE" w14:textId="6DBC3574" w:rsidR="003E3FB2" w:rsidRPr="006F1EEC" w:rsidRDefault="003E3FB2" w:rsidP="00AC20DC">
      <w:r w:rsidRPr="006F1EEC">
        <w:t>Understanding and managing hazards and risks associated with potentially harmful activities in order to meet the environmental objectives of the EU Water Framework Directive (2000/60/EC) and Groundwater Directive (2006/118/EC) is a prerequisite for protecting groundwater for future generations. Groundwater protection has traditionally focused on safeguarding water resources from hazards at (or near) the surface. As a result, the risks from near-surface activities are relatively well understood and managed. The controversy surrounding the shale gas industry development in Europe has highlighted the lack of information and systematic practices across the EU for managing a range of hazards to groundwater from energy</w:t>
      </w:r>
      <w:r w:rsidR="00B9071F">
        <w:t>-</w:t>
      </w:r>
      <w:r w:rsidRPr="006F1EEC">
        <w:t xml:space="preserve">related activities in the deep sub-surface. </w:t>
      </w:r>
    </w:p>
    <w:p w14:paraId="5B25DEE0" w14:textId="77777777" w:rsidR="003E3FB2" w:rsidRPr="006F1EEC" w:rsidRDefault="003E3FB2" w:rsidP="00AC20DC"/>
    <w:p w14:paraId="56E41350" w14:textId="64EE61BE" w:rsidR="003E3FB2" w:rsidRPr="006F1EEC" w:rsidRDefault="00E460DA" w:rsidP="00E460DA">
      <w:r w:rsidRPr="006F1EEC">
        <w:t>Work Package 3 “Process understanding” focuses on improving understanding of the potential pathways between deep sub-surface energy activities and shallow groundwater. This will be achieved through analysis of hydrogeological</w:t>
      </w:r>
      <w:r w:rsidR="007736A6">
        <w:t>, physical</w:t>
      </w:r>
      <w:r w:rsidRPr="006F1EEC">
        <w:t xml:space="preserve">, chemical, isotopic, and geophysical information for four </w:t>
      </w:r>
      <w:r w:rsidRPr="007736A6">
        <w:t xml:space="preserve">pilot sites. </w:t>
      </w:r>
      <w:r w:rsidR="007736A6" w:rsidRPr="00772F42">
        <w:t>The pilots are in different hydrogeological settings across Europe.</w:t>
      </w:r>
    </w:p>
    <w:p w14:paraId="7E35EF7A" w14:textId="77777777" w:rsidR="00E460DA" w:rsidRPr="006F1EEC" w:rsidRDefault="00E460DA" w:rsidP="00AC20DC"/>
    <w:p w14:paraId="2665A020" w14:textId="7230A4FF" w:rsidR="00E460DA" w:rsidRPr="006F1EEC" w:rsidRDefault="00E460DA" w:rsidP="00E460DA">
      <w:r w:rsidRPr="006F1EEC">
        <w:t>This technical report is the first deliverable of W</w:t>
      </w:r>
      <w:r w:rsidR="00B9071F">
        <w:t xml:space="preserve">ork </w:t>
      </w:r>
      <w:r w:rsidRPr="006F1EEC">
        <w:t>P</w:t>
      </w:r>
      <w:r w:rsidR="00B9071F">
        <w:t xml:space="preserve">ackage </w:t>
      </w:r>
      <w:r w:rsidRPr="006F1EEC">
        <w:t xml:space="preserve">3 and </w:t>
      </w:r>
      <w:r w:rsidR="00B9071F">
        <w:t>include</w:t>
      </w:r>
      <w:r w:rsidRPr="006F1EEC">
        <w:t>s:</w:t>
      </w:r>
    </w:p>
    <w:p w14:paraId="76D3B157" w14:textId="7CD4EA89" w:rsidR="00E460DA" w:rsidRPr="006F1EEC" w:rsidRDefault="00E460DA" w:rsidP="008F2680">
      <w:pPr>
        <w:pStyle w:val="Listeafsnit"/>
        <w:numPr>
          <w:ilvl w:val="0"/>
          <w:numId w:val="11"/>
        </w:numPr>
      </w:pPr>
      <w:r w:rsidRPr="006F1EEC">
        <w:t>The literature review of processes and pathways from deep sub-surface energy activities to shallow groundwater;</w:t>
      </w:r>
    </w:p>
    <w:p w14:paraId="3BED34E5" w14:textId="77777777" w:rsidR="00E460DA" w:rsidRPr="006F1EEC" w:rsidRDefault="00E460DA" w:rsidP="008F2680">
      <w:pPr>
        <w:pStyle w:val="Listeafsnit"/>
        <w:numPr>
          <w:ilvl w:val="0"/>
          <w:numId w:val="11"/>
        </w:numPr>
      </w:pPr>
      <w:r w:rsidRPr="006F1EEC">
        <w:t>The data review of the pilot areas, including assessing the infrastructure and data available at the pilot areas;</w:t>
      </w:r>
    </w:p>
    <w:p w14:paraId="26F1E394" w14:textId="4BF0E265" w:rsidR="00DC02B4" w:rsidRPr="006F1EEC" w:rsidRDefault="00E460DA" w:rsidP="008F2680">
      <w:pPr>
        <w:pStyle w:val="Listeafsnit"/>
        <w:numPr>
          <w:ilvl w:val="0"/>
          <w:numId w:val="11"/>
        </w:numPr>
      </w:pPr>
      <w:r w:rsidRPr="006F1EEC">
        <w:t>Inventory of data gaps and planning of further data collection.</w:t>
      </w:r>
    </w:p>
    <w:p w14:paraId="0985479A" w14:textId="48985755" w:rsidR="007C1B79" w:rsidRPr="006F1EEC" w:rsidRDefault="007C1B79" w:rsidP="003E3FB2">
      <w:pPr>
        <w:spacing w:before="139" w:after="120"/>
        <w:ind w:right="112"/>
      </w:pPr>
      <w:r w:rsidRPr="003D7E6F">
        <w:t xml:space="preserve">The pilots will be used to </w:t>
      </w:r>
      <w:r w:rsidR="00B9071F">
        <w:t>test</w:t>
      </w:r>
      <w:r w:rsidRPr="003D7E6F">
        <w:t xml:space="preserve"> the conceptual models of shallow groundwater vulnerability to deep sub-surface energy activities, which will be developed in</w:t>
      </w:r>
      <w:r w:rsidRPr="00C517ED">
        <w:t xml:space="preserve"> Work Package 4 of the VoGERA project</w:t>
      </w:r>
      <w:r w:rsidR="00C517ED">
        <w:t xml:space="preserve"> (Loveless et al., 2019)</w:t>
      </w:r>
      <w:r w:rsidRPr="00C517ED">
        <w:t xml:space="preserve">. </w:t>
      </w:r>
    </w:p>
    <w:p w14:paraId="72F39A76" w14:textId="5E61B251" w:rsidR="00AC20DC" w:rsidRPr="006F1EEC" w:rsidRDefault="00DC02B4" w:rsidP="00DC02B4">
      <w:pPr>
        <w:rPr>
          <w:rFonts w:asciiTheme="minorHAnsi" w:hAnsiTheme="minorHAnsi"/>
          <w:sz w:val="22"/>
        </w:rPr>
      </w:pPr>
      <w:r w:rsidRPr="006F1EEC">
        <w:t xml:space="preserve">The scope and </w:t>
      </w:r>
      <w:r w:rsidR="00B9071F">
        <w:t>definitions of key</w:t>
      </w:r>
      <w:r w:rsidRPr="006F1EEC">
        <w:t xml:space="preserve"> terms are given in </w:t>
      </w:r>
      <w:r w:rsidR="00B9071F">
        <w:t>C</w:t>
      </w:r>
      <w:r w:rsidRPr="006F1EEC">
        <w:t xml:space="preserve">hapter </w:t>
      </w:r>
      <w:r w:rsidRPr="006F1EEC">
        <w:fldChar w:fldCharType="begin"/>
      </w:r>
      <w:r w:rsidRPr="006F1EEC">
        <w:instrText xml:space="preserve"> REF _Ref535576258 \r \h </w:instrText>
      </w:r>
      <w:r w:rsidRPr="006F1EEC">
        <w:fldChar w:fldCharType="separate"/>
      </w:r>
      <w:r w:rsidR="00734A2A">
        <w:t>1</w:t>
      </w:r>
      <w:r w:rsidRPr="006F1EEC">
        <w:fldChar w:fldCharType="end"/>
      </w:r>
      <w:r w:rsidRPr="006F1EEC">
        <w:t xml:space="preserve"> and </w:t>
      </w:r>
      <w:r w:rsidRPr="006F1EEC">
        <w:fldChar w:fldCharType="begin"/>
      </w:r>
      <w:r w:rsidRPr="006F1EEC">
        <w:instrText xml:space="preserve"> REF _Ref535576059 \r \h </w:instrText>
      </w:r>
      <w:r w:rsidRPr="006F1EEC">
        <w:fldChar w:fldCharType="separate"/>
      </w:r>
      <w:r w:rsidR="00734A2A">
        <w:t>2</w:t>
      </w:r>
      <w:r w:rsidRPr="006F1EEC">
        <w:fldChar w:fldCharType="end"/>
      </w:r>
      <w:r w:rsidRPr="006F1EEC">
        <w:t xml:space="preserve">. The results of the literature review </w:t>
      </w:r>
      <w:r w:rsidR="00B9071F">
        <w:t>and</w:t>
      </w:r>
      <w:r w:rsidRPr="006F1EEC">
        <w:t xml:space="preserve"> description of relevant pathways and processes </w:t>
      </w:r>
      <w:r w:rsidR="00B9071F">
        <w:t xml:space="preserve">are summarised </w:t>
      </w:r>
      <w:r w:rsidRPr="006F1EEC">
        <w:t xml:space="preserve">in </w:t>
      </w:r>
      <w:r w:rsidR="00B9071F">
        <w:t>C</w:t>
      </w:r>
      <w:r w:rsidRPr="006F1EEC">
        <w:t xml:space="preserve">hapter </w:t>
      </w:r>
      <w:r w:rsidRPr="006F1EEC">
        <w:fldChar w:fldCharType="begin"/>
      </w:r>
      <w:r w:rsidRPr="006F1EEC">
        <w:instrText xml:space="preserve"> REF _Ref535576101 \r \h </w:instrText>
      </w:r>
      <w:r w:rsidRPr="006F1EEC">
        <w:fldChar w:fldCharType="separate"/>
      </w:r>
      <w:r w:rsidR="00734A2A">
        <w:t>3</w:t>
      </w:r>
      <w:r w:rsidRPr="006F1EEC">
        <w:fldChar w:fldCharType="end"/>
      </w:r>
      <w:r w:rsidRPr="006F1EEC">
        <w:t xml:space="preserve">. </w:t>
      </w:r>
      <w:r w:rsidR="007C1B79" w:rsidRPr="006F1EEC">
        <w:t xml:space="preserve">The pilots are described in the </w:t>
      </w:r>
      <w:r w:rsidR="00B9071F">
        <w:t>C</w:t>
      </w:r>
      <w:r w:rsidR="007C1B79" w:rsidRPr="006F1EEC">
        <w:t xml:space="preserve">hapters </w:t>
      </w:r>
      <w:r w:rsidR="007C1B79" w:rsidRPr="006F1EEC">
        <w:fldChar w:fldCharType="begin"/>
      </w:r>
      <w:r w:rsidR="007C1B79" w:rsidRPr="006F1EEC">
        <w:instrText xml:space="preserve"> REF _Ref535574929 \r \h </w:instrText>
      </w:r>
      <w:r w:rsidR="007C1B79" w:rsidRPr="006F1EEC">
        <w:fldChar w:fldCharType="separate"/>
      </w:r>
      <w:r w:rsidR="00734A2A">
        <w:t>4</w:t>
      </w:r>
      <w:r w:rsidR="007C1B79" w:rsidRPr="006F1EEC">
        <w:fldChar w:fldCharType="end"/>
      </w:r>
      <w:r w:rsidR="007C1B79" w:rsidRPr="006F1EEC">
        <w:t xml:space="preserve"> (Pannonian Basin, Hungary), </w:t>
      </w:r>
      <w:r w:rsidR="007C1B79" w:rsidRPr="006F1EEC">
        <w:fldChar w:fldCharType="begin"/>
      </w:r>
      <w:r w:rsidR="007C1B79" w:rsidRPr="006F1EEC">
        <w:instrText xml:space="preserve"> REF _Ref535574950 \r \h </w:instrText>
      </w:r>
      <w:r w:rsidR="007C1B79" w:rsidRPr="006F1EEC">
        <w:fldChar w:fldCharType="separate"/>
      </w:r>
      <w:r w:rsidR="00734A2A">
        <w:t>5</w:t>
      </w:r>
      <w:r w:rsidR="007C1B79" w:rsidRPr="006F1EEC">
        <w:fldChar w:fldCharType="end"/>
      </w:r>
      <w:r w:rsidR="007C1B79" w:rsidRPr="006F1EEC">
        <w:t xml:space="preserve"> (Vale of Pickering, United Kingdom), </w:t>
      </w:r>
      <w:r w:rsidR="007C1B79" w:rsidRPr="006F1EEC">
        <w:fldChar w:fldCharType="begin"/>
      </w:r>
      <w:r w:rsidR="007C1B79" w:rsidRPr="006F1EEC">
        <w:instrText xml:space="preserve"> REF _Ref535575000 \r \h </w:instrText>
      </w:r>
      <w:r w:rsidR="007C1B79" w:rsidRPr="006F1EEC">
        <w:fldChar w:fldCharType="separate"/>
      </w:r>
      <w:r w:rsidR="00734A2A">
        <w:t>6</w:t>
      </w:r>
      <w:r w:rsidR="007C1B79" w:rsidRPr="006F1EEC">
        <w:fldChar w:fldCharType="end"/>
      </w:r>
      <w:r w:rsidR="007C1B79" w:rsidRPr="006F1EEC">
        <w:t xml:space="preserve"> (Peel Boundary Fault, the Netherlands), and </w:t>
      </w:r>
      <w:r w:rsidR="007C1B79" w:rsidRPr="006F1EEC">
        <w:fldChar w:fldCharType="begin"/>
      </w:r>
      <w:r w:rsidR="007C1B79" w:rsidRPr="006F1EEC">
        <w:instrText xml:space="preserve"> REF _Ref535575052 \r \h </w:instrText>
      </w:r>
      <w:r w:rsidR="007C1B79" w:rsidRPr="006F1EEC">
        <w:fldChar w:fldCharType="separate"/>
      </w:r>
      <w:r w:rsidR="00734A2A">
        <w:t>7</w:t>
      </w:r>
      <w:r w:rsidR="007C1B79" w:rsidRPr="006F1EEC">
        <w:fldChar w:fldCharType="end"/>
      </w:r>
      <w:r w:rsidR="007C1B79" w:rsidRPr="006F1EEC">
        <w:t xml:space="preserve"> (Rauw Fault, Belgium).</w:t>
      </w:r>
    </w:p>
    <w:p w14:paraId="719D0A2D" w14:textId="77777777" w:rsidR="003E3FB2" w:rsidRPr="006F1EEC" w:rsidRDefault="003E3FB2" w:rsidP="003E3FB2">
      <w:pPr>
        <w:pStyle w:val="Overskrift1"/>
      </w:pPr>
      <w:bookmarkStart w:id="5" w:name="_Toc527472381"/>
      <w:bookmarkStart w:id="6" w:name="_Ref535576258"/>
      <w:bookmarkStart w:id="7" w:name="_Ref535576262"/>
      <w:bookmarkStart w:id="8" w:name="_Toc14425368"/>
      <w:r w:rsidRPr="006F1EEC">
        <w:t>Scope</w:t>
      </w:r>
      <w:bookmarkEnd w:id="5"/>
      <w:bookmarkEnd w:id="6"/>
      <w:bookmarkEnd w:id="7"/>
      <w:bookmarkEnd w:id="8"/>
    </w:p>
    <w:p w14:paraId="26502269" w14:textId="36E0FE23" w:rsidR="00E50C49" w:rsidRPr="006F1EEC" w:rsidRDefault="00887088" w:rsidP="00E50C49">
      <w:r>
        <w:t xml:space="preserve">The </w:t>
      </w:r>
      <w:r w:rsidR="009430C4">
        <w:t xml:space="preserve">focus of the VoGERA project </w:t>
      </w:r>
      <w:r w:rsidR="00A84D73">
        <w:t xml:space="preserve">is understanding </w:t>
      </w:r>
      <w:r>
        <w:t>p</w:t>
      </w:r>
      <w:r w:rsidR="002A1A81">
        <w:t xml:space="preserve">athways for negative impacts of </w:t>
      </w:r>
      <w:r w:rsidR="003E3FB2" w:rsidRPr="006F1EEC">
        <w:t>ener</w:t>
      </w:r>
      <w:r w:rsidR="00B9071F">
        <w:t>gy-related</w:t>
      </w:r>
      <w:r w:rsidR="003E3FB2" w:rsidRPr="006F1EEC">
        <w:t xml:space="preserve"> activities on groundwater resources</w:t>
      </w:r>
      <w:r>
        <w:t>,</w:t>
      </w:r>
      <w:r w:rsidR="003E3FB2" w:rsidRPr="006F1EEC">
        <w:t xml:space="preserve"> w</w:t>
      </w:r>
      <w:r w:rsidR="009430C4">
        <w:t>h</w:t>
      </w:r>
      <w:r w:rsidR="003E3FB2" w:rsidRPr="006F1EEC">
        <w:t>i</w:t>
      </w:r>
      <w:r w:rsidR="009430C4">
        <w:t>c</w:t>
      </w:r>
      <w:r w:rsidR="003E3FB2" w:rsidRPr="006F1EEC">
        <w:t>h a</w:t>
      </w:r>
      <w:r w:rsidR="009430C4">
        <w:t>re relevant for</w:t>
      </w:r>
      <w:r w:rsidR="003E3FB2" w:rsidRPr="006F1EEC">
        <w:t xml:space="preserve"> European setting</w:t>
      </w:r>
      <w:r w:rsidR="009430C4">
        <w:t>s</w:t>
      </w:r>
      <w:r w:rsidR="002A1A81">
        <w:t>. Shallow aquifer thermal energy storage systems and nuclear waste storage are exclude</w:t>
      </w:r>
      <w:r w:rsidR="00E50C49">
        <w:t>d</w:t>
      </w:r>
      <w:r>
        <w:t xml:space="preserve"> (as ener</w:t>
      </w:r>
      <w:r w:rsidR="00B9071F">
        <w:t>gy-related</w:t>
      </w:r>
      <w:r>
        <w:t xml:space="preserve"> activities)</w:t>
      </w:r>
      <w:r w:rsidR="00E50C49">
        <w:t xml:space="preserve"> because they are common practice and well-regulated or the focus of dedicated research programmes. </w:t>
      </w:r>
      <w:r w:rsidR="002A1A81">
        <w:t xml:space="preserve">The </w:t>
      </w:r>
      <w:r w:rsidR="00E50C49">
        <w:t xml:space="preserve">considered </w:t>
      </w:r>
      <w:r w:rsidR="002A1A81">
        <w:t>ener</w:t>
      </w:r>
      <w:r w:rsidR="00B9071F">
        <w:t>gy-related</w:t>
      </w:r>
      <w:r w:rsidR="002A1A81">
        <w:t xml:space="preserve"> activit</w:t>
      </w:r>
      <w:r w:rsidR="00E50C49">
        <w:t>ies are</w:t>
      </w:r>
      <w:r w:rsidR="00E50C49" w:rsidRPr="006F1EEC">
        <w:t>:</w:t>
      </w:r>
    </w:p>
    <w:p w14:paraId="6B44E4E4" w14:textId="1E56790D" w:rsidR="00E50C49" w:rsidRPr="006F1EEC" w:rsidRDefault="00E50C49" w:rsidP="00E50C49">
      <w:pPr>
        <w:pStyle w:val="Listeafsnit"/>
        <w:numPr>
          <w:ilvl w:val="0"/>
          <w:numId w:val="7"/>
        </w:numPr>
        <w:spacing w:after="160" w:line="259" w:lineRule="auto"/>
        <w:jc w:val="left"/>
      </w:pPr>
      <w:r w:rsidRPr="006F1EEC">
        <w:t>extraction (oil, gas, coal possibly via subsurface gasification</w:t>
      </w:r>
      <w:r>
        <w:t>, thermal energy</w:t>
      </w:r>
      <w:r w:rsidRPr="006F1EEC">
        <w:t>)</w:t>
      </w:r>
      <w:r>
        <w:t>;</w:t>
      </w:r>
    </w:p>
    <w:p w14:paraId="4D0DFB5C" w14:textId="0D1F3FC8" w:rsidR="00E50C49" w:rsidRPr="006F1EEC" w:rsidRDefault="00E50C49" w:rsidP="00E50C49">
      <w:pPr>
        <w:pStyle w:val="Listeafsnit"/>
        <w:numPr>
          <w:ilvl w:val="0"/>
          <w:numId w:val="7"/>
        </w:numPr>
        <w:spacing w:after="160" w:line="259" w:lineRule="auto"/>
        <w:jc w:val="left"/>
      </w:pPr>
      <w:r w:rsidRPr="006F1EEC">
        <w:t>injection (CO</w:t>
      </w:r>
      <w:r w:rsidRPr="00B67A0F">
        <w:rPr>
          <w:vertAlign w:val="subscript"/>
        </w:rPr>
        <w:t>2</w:t>
      </w:r>
      <w:r w:rsidRPr="006F1EEC">
        <w:t xml:space="preserve">, </w:t>
      </w:r>
      <w:r>
        <w:t xml:space="preserve">oil or </w:t>
      </w:r>
      <w:r w:rsidRPr="006F1EEC">
        <w:t xml:space="preserve">gas for </w:t>
      </w:r>
      <w:r>
        <w:t xml:space="preserve">temporal </w:t>
      </w:r>
      <w:r w:rsidRPr="006F1EEC">
        <w:t>storage</w:t>
      </w:r>
      <w:r>
        <w:t>/buffering</w:t>
      </w:r>
      <w:r w:rsidRPr="006F1EEC">
        <w:t>)</w:t>
      </w:r>
      <w:r>
        <w:t>;</w:t>
      </w:r>
    </w:p>
    <w:p w14:paraId="2C70CE11" w14:textId="47C71D94" w:rsidR="00E50C49" w:rsidRPr="006F1EEC" w:rsidRDefault="00E50C49" w:rsidP="00E50C49">
      <w:pPr>
        <w:pStyle w:val="Listeafsnit"/>
        <w:numPr>
          <w:ilvl w:val="0"/>
          <w:numId w:val="7"/>
        </w:numPr>
        <w:spacing w:after="160" w:line="259" w:lineRule="auto"/>
        <w:jc w:val="left"/>
      </w:pPr>
      <w:r w:rsidRPr="006F1EEC">
        <w:t>solid waste storage (no net addition of mass)</w:t>
      </w:r>
      <w:r>
        <w:t>;</w:t>
      </w:r>
    </w:p>
    <w:p w14:paraId="7E9E2D40" w14:textId="3AC13059" w:rsidR="00E50C49" w:rsidRPr="006F1EEC" w:rsidRDefault="00E50C49" w:rsidP="00E50C49">
      <w:pPr>
        <w:pStyle w:val="Listeafsnit"/>
        <w:numPr>
          <w:ilvl w:val="0"/>
          <w:numId w:val="7"/>
        </w:numPr>
        <w:spacing w:after="160" w:line="259" w:lineRule="auto"/>
        <w:jc w:val="left"/>
      </w:pPr>
      <w:r>
        <w:t xml:space="preserve">combined </w:t>
      </w:r>
      <w:r w:rsidRPr="006F1EEC">
        <w:t>injection</w:t>
      </w:r>
      <w:r>
        <w:t xml:space="preserve"> and </w:t>
      </w:r>
      <w:r w:rsidRPr="006F1EEC">
        <w:t>extraction without net extraction (geothermal doublets)</w:t>
      </w:r>
      <w:r>
        <w:t>;</w:t>
      </w:r>
    </w:p>
    <w:p w14:paraId="153AF09B" w14:textId="272DCCED" w:rsidR="00E50C49" w:rsidRPr="006F1EEC" w:rsidRDefault="00E50C49" w:rsidP="00E50C49">
      <w:pPr>
        <w:pStyle w:val="Listeafsnit"/>
        <w:numPr>
          <w:ilvl w:val="0"/>
          <w:numId w:val="7"/>
        </w:numPr>
        <w:spacing w:after="160" w:line="259" w:lineRule="auto"/>
        <w:jc w:val="left"/>
      </w:pPr>
      <w:r w:rsidRPr="006F1EEC">
        <w:t>changing properties (enhancing permeability / fracking)</w:t>
      </w:r>
      <w:r>
        <w:t>;</w:t>
      </w:r>
    </w:p>
    <w:p w14:paraId="112D23A2" w14:textId="249FCAA1" w:rsidR="00E50C49" w:rsidRDefault="00E50C49" w:rsidP="00E50C49">
      <w:pPr>
        <w:pStyle w:val="Listeafsnit"/>
        <w:numPr>
          <w:ilvl w:val="0"/>
          <w:numId w:val="7"/>
        </w:numPr>
        <w:spacing w:after="160" w:line="259" w:lineRule="auto"/>
        <w:jc w:val="left"/>
      </w:pPr>
      <w:r w:rsidRPr="006F1EEC">
        <w:t xml:space="preserve">drilling </w:t>
      </w:r>
      <w:r>
        <w:t>.</w:t>
      </w:r>
    </w:p>
    <w:p w14:paraId="231B55E6" w14:textId="19966853" w:rsidR="00E50C49" w:rsidRDefault="00E50C49" w:rsidP="00E50C49">
      <w:pPr>
        <w:spacing w:after="160" w:line="259" w:lineRule="auto"/>
        <w:jc w:val="left"/>
      </w:pPr>
      <w:r>
        <w:t>The subsurface water resources include all groundwater with a potential of being used e.g. for drinking water, nature, industry, nature, and reserves for possible future use.</w:t>
      </w:r>
      <w:r w:rsidR="00ED5DC3">
        <w:t xml:space="preserve"> In order to protect these groundwater resources from risks from subsurface ener</w:t>
      </w:r>
      <w:r w:rsidR="00B9071F">
        <w:t>gy-related</w:t>
      </w:r>
      <w:r w:rsidR="00ED5DC3">
        <w:t xml:space="preserve"> activities, field base</w:t>
      </w:r>
      <w:r w:rsidR="00B95FD6">
        <w:t>d</w:t>
      </w:r>
      <w:r w:rsidR="00ED5DC3">
        <w:t xml:space="preserve"> h</w:t>
      </w:r>
      <w:r w:rsidR="00B95FD6">
        <w:t>ydrogeological research is needed to provide baseline concentrations and information on pathways (Jackson et al. 2013).</w:t>
      </w:r>
      <w:r w:rsidR="001778E4">
        <w:t xml:space="preserve">   </w:t>
      </w:r>
    </w:p>
    <w:p w14:paraId="4B306EA6" w14:textId="3D179B70" w:rsidR="001778E4" w:rsidRPr="00374489" w:rsidRDefault="00374489" w:rsidP="00374489">
      <w:pPr>
        <w:spacing w:after="160" w:line="259" w:lineRule="auto"/>
        <w:jc w:val="left"/>
      </w:pPr>
      <w:r>
        <w:t>The GeoERA call document (</w:t>
      </w:r>
      <w:r w:rsidR="00746358">
        <w:t>GeoERA, 2017</w:t>
      </w:r>
      <w:r>
        <w:t>) asked for “</w:t>
      </w:r>
      <w:r w:rsidRPr="00374489">
        <w:t>Substantiating the relation between deep industrial activities (e.g. geothermal energy and unconventional hydrocarbon exploitation) and shallow groundwater resources</w:t>
      </w:r>
      <w:r>
        <w:t xml:space="preserve">”. However, it is unnecessarily limiting to specify “deep” and “shallow” for </w:t>
      </w:r>
      <w:r w:rsidR="00DD0E4F">
        <w:t xml:space="preserve">both </w:t>
      </w:r>
      <w:r>
        <w:t xml:space="preserve">the activities and </w:t>
      </w:r>
      <w:r w:rsidR="00DD0E4F">
        <w:t xml:space="preserve">the </w:t>
      </w:r>
      <w:r>
        <w:t xml:space="preserve">groundwater resource. The distinction may seem logical from the fact that the base of the </w:t>
      </w:r>
      <w:r w:rsidRPr="00374489">
        <w:t xml:space="preserve">British </w:t>
      </w:r>
      <w:r>
        <w:t>g</w:t>
      </w:r>
      <w:r w:rsidRPr="00374489">
        <w:t xml:space="preserve">roundwater bodies </w:t>
      </w:r>
      <w:r>
        <w:t xml:space="preserve">is </w:t>
      </w:r>
      <w:r w:rsidR="00DD0E4F">
        <w:t xml:space="preserve">set </w:t>
      </w:r>
      <w:r>
        <w:t xml:space="preserve">at 400 meters </w:t>
      </w:r>
      <w:r w:rsidRPr="00374489">
        <w:t xml:space="preserve">and </w:t>
      </w:r>
      <w:r>
        <w:t xml:space="preserve">that </w:t>
      </w:r>
      <w:r w:rsidRPr="00374489">
        <w:t>the Dutch mining law</w:t>
      </w:r>
      <w:r>
        <w:t xml:space="preserve"> applies to depths greater than 500 meters. However, i</w:t>
      </w:r>
      <w:r w:rsidR="001778E4" w:rsidRPr="00374489">
        <w:t>n the Pannonian basi</w:t>
      </w:r>
      <w:r>
        <w:t>n</w:t>
      </w:r>
      <w:r w:rsidR="001778E4" w:rsidRPr="00374489">
        <w:t xml:space="preserve">, there are important water resources below </w:t>
      </w:r>
      <w:r>
        <w:t>these depths</w:t>
      </w:r>
      <w:r w:rsidR="00746358">
        <w:t xml:space="preserve"> and </w:t>
      </w:r>
      <w:r w:rsidR="001778E4" w:rsidRPr="00374489">
        <w:t xml:space="preserve">in the Roer Valley Graben deeper groundwater is </w:t>
      </w:r>
      <w:r w:rsidR="00746358">
        <w:t xml:space="preserve">considered in the search for strategic groundwater </w:t>
      </w:r>
      <w:r w:rsidR="001778E4" w:rsidRPr="00374489">
        <w:t>water resource</w:t>
      </w:r>
      <w:r w:rsidR="00746358">
        <w:t>s.</w:t>
      </w:r>
      <w:r w:rsidR="00C12C99">
        <w:t xml:space="preserve"> Another example is t</w:t>
      </w:r>
      <w:r w:rsidR="00C12C99" w:rsidRPr="00C12C99">
        <w:t>he main spring of the thermal water in Bath (UK)</w:t>
      </w:r>
      <w:r w:rsidR="00C12C99">
        <w:t>,</w:t>
      </w:r>
      <w:r w:rsidR="00C12C99" w:rsidRPr="00C12C99">
        <w:t xml:space="preserve"> </w:t>
      </w:r>
      <w:r w:rsidR="00C12C99">
        <w:t>which</w:t>
      </w:r>
      <w:r w:rsidR="00C12C99" w:rsidRPr="00C12C99">
        <w:t xml:space="preserve"> </w:t>
      </w:r>
      <w:r w:rsidR="00C12C99">
        <w:t xml:space="preserve">is </w:t>
      </w:r>
      <w:r w:rsidR="00C12C99" w:rsidRPr="00C12C99">
        <w:t>fed by meteoric water from a distance of 15 km</w:t>
      </w:r>
      <w:r w:rsidR="00C12C99">
        <w:t xml:space="preserve"> </w:t>
      </w:r>
      <w:r w:rsidR="00135C06">
        <w:t xml:space="preserve">reaching </w:t>
      </w:r>
      <w:r w:rsidR="00C12C99" w:rsidRPr="00C12C99">
        <w:t>depth</w:t>
      </w:r>
      <w:r w:rsidR="00135C06">
        <w:t>s</w:t>
      </w:r>
      <w:r w:rsidR="00C12C99" w:rsidRPr="00C12C99">
        <w:t xml:space="preserve"> between 2.7 and 4.3 km </w:t>
      </w:r>
      <w:r w:rsidR="00C12C99">
        <w:t xml:space="preserve">on its way to the spring </w:t>
      </w:r>
      <w:r w:rsidR="00C12C99" w:rsidRPr="00C12C99">
        <w:t>(Andrews et al.,</w:t>
      </w:r>
      <w:r w:rsidR="00C12C99">
        <w:t xml:space="preserve"> </w:t>
      </w:r>
      <w:r w:rsidR="00C12C99" w:rsidRPr="00C12C99">
        <w:t>1982).</w:t>
      </w:r>
    </w:p>
    <w:p w14:paraId="7A984E4F" w14:textId="77777777" w:rsidR="003E3FB2" w:rsidRPr="006F1EEC" w:rsidRDefault="003E3FB2" w:rsidP="003E3FB2">
      <w:pPr>
        <w:pStyle w:val="Overskrift1"/>
      </w:pPr>
      <w:bookmarkStart w:id="9" w:name="_Toc14159819"/>
      <w:bookmarkStart w:id="10" w:name="_Toc14160451"/>
      <w:bookmarkStart w:id="11" w:name="_Toc14159820"/>
      <w:bookmarkStart w:id="12" w:name="_Toc14160452"/>
      <w:bookmarkStart w:id="13" w:name="_Toc14159821"/>
      <w:bookmarkStart w:id="14" w:name="_Toc14160453"/>
      <w:bookmarkStart w:id="15" w:name="_Toc14159822"/>
      <w:bookmarkStart w:id="16" w:name="_Toc14160454"/>
      <w:bookmarkStart w:id="17" w:name="_Toc527472382"/>
      <w:bookmarkStart w:id="18" w:name="_Ref535576059"/>
      <w:bookmarkStart w:id="19" w:name="_Toc14425369"/>
      <w:bookmarkEnd w:id="9"/>
      <w:bookmarkEnd w:id="10"/>
      <w:bookmarkEnd w:id="11"/>
      <w:bookmarkEnd w:id="12"/>
      <w:bookmarkEnd w:id="13"/>
      <w:bookmarkEnd w:id="14"/>
      <w:bookmarkEnd w:id="15"/>
      <w:bookmarkEnd w:id="16"/>
      <w:r w:rsidRPr="006F1EEC">
        <w:t>Definitions</w:t>
      </w:r>
      <w:bookmarkEnd w:id="17"/>
      <w:bookmarkEnd w:id="18"/>
      <w:bookmarkEnd w:id="19"/>
    </w:p>
    <w:p w14:paraId="40013884" w14:textId="0FD898F7" w:rsidR="003E3FB2" w:rsidRPr="006F1EEC" w:rsidRDefault="00E50C49" w:rsidP="003E3FB2">
      <w:r>
        <w:rPr>
          <w:b/>
        </w:rPr>
        <w:t>C</w:t>
      </w:r>
      <w:r w:rsidR="003E3FB2" w:rsidRPr="006F1EEC">
        <w:rPr>
          <w:b/>
        </w:rPr>
        <w:t>ontaminant</w:t>
      </w:r>
      <w:r w:rsidR="003E3FB2" w:rsidRPr="006F1EEC">
        <w:t xml:space="preserve"> – </w:t>
      </w:r>
      <w:r w:rsidR="00B9071F">
        <w:t xml:space="preserve">compound which negatively impacts </w:t>
      </w:r>
      <w:r w:rsidR="003E3FB2" w:rsidRPr="006F1EEC">
        <w:t>groundwater quality</w:t>
      </w:r>
    </w:p>
    <w:p w14:paraId="125602C2" w14:textId="36E9FE89" w:rsidR="003E3FB2" w:rsidRPr="006F1EEC" w:rsidRDefault="00E50C49" w:rsidP="00E50C49">
      <w:r>
        <w:rPr>
          <w:b/>
        </w:rPr>
        <w:t>Ener</w:t>
      </w:r>
      <w:r w:rsidR="00B9071F">
        <w:rPr>
          <w:b/>
        </w:rPr>
        <w:t>gy-related</w:t>
      </w:r>
      <w:r>
        <w:rPr>
          <w:b/>
        </w:rPr>
        <w:t xml:space="preserve"> </w:t>
      </w:r>
      <w:r w:rsidR="003E3FB2" w:rsidRPr="006F1EEC">
        <w:rPr>
          <w:b/>
        </w:rPr>
        <w:t>activities</w:t>
      </w:r>
      <w:r w:rsidR="003E3FB2" w:rsidRPr="006F1EEC">
        <w:t xml:space="preserve"> – human interference in the subsurface </w:t>
      </w:r>
      <w:r w:rsidR="007A0890">
        <w:t>below or within the depth of groundwater resources</w:t>
      </w:r>
      <w:r w:rsidR="00B9071F">
        <w:t xml:space="preserve"> related to storing or extracting energy resources</w:t>
      </w:r>
      <w:r>
        <w:t xml:space="preserve"> (excluding shallow aquifer thermal energy storage and a</w:t>
      </w:r>
      <w:r w:rsidR="003E3FB2" w:rsidRPr="006F1EEC">
        <w:t>ctivities related to</w:t>
      </w:r>
      <w:r>
        <w:t xml:space="preserve"> subsurface storage of</w:t>
      </w:r>
      <w:r w:rsidR="003E3FB2" w:rsidRPr="006F1EEC">
        <w:t xml:space="preserve"> nuclear waste</w:t>
      </w:r>
      <w:r>
        <w:t>)</w:t>
      </w:r>
    </w:p>
    <w:p w14:paraId="08B4777D" w14:textId="7B99D0B8" w:rsidR="003E3FB2" w:rsidRPr="006F1EEC" w:rsidRDefault="009649FE" w:rsidP="003E3FB2">
      <w:pPr>
        <w:rPr>
          <w:b/>
        </w:rPr>
      </w:pPr>
      <w:r>
        <w:rPr>
          <w:b/>
        </w:rPr>
        <w:t>E</w:t>
      </w:r>
      <w:r w:rsidR="003E3FB2" w:rsidRPr="006F1EEC">
        <w:rPr>
          <w:b/>
        </w:rPr>
        <w:t>ffect</w:t>
      </w:r>
      <w:r w:rsidR="003E3FB2" w:rsidRPr="006F1EEC">
        <w:t xml:space="preserve"> – synonym of impact</w:t>
      </w:r>
    </w:p>
    <w:p w14:paraId="0E58B3EE" w14:textId="1E41D05C" w:rsidR="003E3FB2" w:rsidRPr="006F1EEC" w:rsidRDefault="009649FE" w:rsidP="003E3FB2">
      <w:r>
        <w:rPr>
          <w:b/>
        </w:rPr>
        <w:t>G</w:t>
      </w:r>
      <w:r w:rsidR="003E3FB2" w:rsidRPr="006F1EEC">
        <w:rPr>
          <w:b/>
        </w:rPr>
        <w:t>roundwater resource</w:t>
      </w:r>
      <w:r w:rsidR="003E3FB2" w:rsidRPr="006F1EEC">
        <w:t xml:space="preserve"> – water in the subsurface with the potential </w:t>
      </w:r>
      <w:r w:rsidR="00707F78">
        <w:t>to</w:t>
      </w:r>
      <w:r w:rsidR="003E3FB2" w:rsidRPr="006F1EEC">
        <w:t xml:space="preserve"> be used</w:t>
      </w:r>
    </w:p>
    <w:p w14:paraId="7BFB69CE" w14:textId="026F5040" w:rsidR="003E3FB2" w:rsidRPr="006F1EEC" w:rsidRDefault="009649FE" w:rsidP="003E3FB2">
      <w:r>
        <w:rPr>
          <w:b/>
        </w:rPr>
        <w:t>I</w:t>
      </w:r>
      <w:r w:rsidR="003E3FB2" w:rsidRPr="006F1EEC">
        <w:rPr>
          <w:b/>
        </w:rPr>
        <w:t>mpact</w:t>
      </w:r>
      <w:r w:rsidR="00A4541F">
        <w:rPr>
          <w:b/>
        </w:rPr>
        <w:t xml:space="preserve"> </w:t>
      </w:r>
      <w:r w:rsidR="003E3FB2" w:rsidRPr="006F1EEC">
        <w:t>– change of groundwater quality (assuming quantity does not change)</w:t>
      </w:r>
      <w:r w:rsidR="00887088">
        <w:t xml:space="preserve">, </w:t>
      </w:r>
      <w:r w:rsidR="009430C4">
        <w:t>e.g.</w:t>
      </w:r>
      <w:r w:rsidR="003E3FB2" w:rsidRPr="006F1EEC">
        <w:t xml:space="preserve"> through:</w:t>
      </w:r>
    </w:p>
    <w:p w14:paraId="7716F473" w14:textId="77777777" w:rsidR="003E3FB2" w:rsidRPr="006F1EEC" w:rsidRDefault="003E3FB2" w:rsidP="008F2680">
      <w:pPr>
        <w:pStyle w:val="Listeafsnit"/>
        <w:numPr>
          <w:ilvl w:val="0"/>
          <w:numId w:val="7"/>
        </w:numPr>
        <w:spacing w:after="160" w:line="259" w:lineRule="auto"/>
        <w:jc w:val="left"/>
      </w:pPr>
      <w:r w:rsidRPr="006F1EEC">
        <w:t>migration of deep formation water</w:t>
      </w:r>
    </w:p>
    <w:p w14:paraId="46ACE047" w14:textId="036646A6" w:rsidR="003E3FB2" w:rsidRPr="006F1EEC" w:rsidRDefault="003E3FB2" w:rsidP="008F2680">
      <w:pPr>
        <w:pStyle w:val="Listeafsnit"/>
        <w:numPr>
          <w:ilvl w:val="0"/>
          <w:numId w:val="7"/>
        </w:numPr>
        <w:spacing w:after="160" w:line="259" w:lineRule="auto"/>
        <w:jc w:val="left"/>
      </w:pPr>
      <w:r w:rsidRPr="006F1EEC">
        <w:t>contamination from substances used/injected</w:t>
      </w:r>
    </w:p>
    <w:p w14:paraId="7124F169" w14:textId="646E6F18" w:rsidR="003E3FB2" w:rsidRPr="006F1EEC" w:rsidRDefault="009649FE" w:rsidP="003E3FB2">
      <w:r>
        <w:rPr>
          <w:b/>
        </w:rPr>
        <w:t>I</w:t>
      </w:r>
      <w:r w:rsidR="003E3FB2" w:rsidRPr="006F1EEC">
        <w:rPr>
          <w:b/>
        </w:rPr>
        <w:t>nfluence</w:t>
      </w:r>
      <w:r w:rsidR="003E3FB2" w:rsidRPr="006F1EEC">
        <w:t xml:space="preserve"> – synonym of impact</w:t>
      </w:r>
    </w:p>
    <w:p w14:paraId="314E3F62" w14:textId="118CCC36" w:rsidR="003E3FB2" w:rsidRPr="006F1EEC" w:rsidRDefault="009649FE" w:rsidP="003E3FB2">
      <w:r>
        <w:rPr>
          <w:b/>
        </w:rPr>
        <w:t>P</w:t>
      </w:r>
      <w:r w:rsidR="003E3FB2" w:rsidRPr="006F1EEC">
        <w:rPr>
          <w:b/>
        </w:rPr>
        <w:t>athway</w:t>
      </w:r>
      <w:r w:rsidR="003E3FB2" w:rsidRPr="006F1EEC">
        <w:t xml:space="preserve"> – physical route </w:t>
      </w:r>
      <w:r w:rsidR="00707F78">
        <w:t xml:space="preserve">through which contaminants travel toward the groundwater resource caused by an energy-related activity. Pathways can be: </w:t>
      </w:r>
    </w:p>
    <w:p w14:paraId="21E25E5B" w14:textId="77777777" w:rsidR="003E3FB2" w:rsidRPr="006F1EEC" w:rsidRDefault="003E3FB2" w:rsidP="008F2680">
      <w:pPr>
        <w:pStyle w:val="Listeafsnit"/>
        <w:numPr>
          <w:ilvl w:val="0"/>
          <w:numId w:val="7"/>
        </w:numPr>
        <w:spacing w:after="160" w:line="259" w:lineRule="auto"/>
        <w:jc w:val="left"/>
      </w:pPr>
      <w:r w:rsidRPr="006F1EEC">
        <w:t>natural</w:t>
      </w:r>
    </w:p>
    <w:p w14:paraId="044A950A" w14:textId="77777777" w:rsidR="003E3FB2" w:rsidRPr="006F1EEC" w:rsidRDefault="003E3FB2" w:rsidP="008F2680">
      <w:pPr>
        <w:pStyle w:val="Listeafsnit"/>
        <w:numPr>
          <w:ilvl w:val="1"/>
          <w:numId w:val="7"/>
        </w:numPr>
        <w:spacing w:after="160" w:line="259" w:lineRule="auto"/>
        <w:jc w:val="left"/>
      </w:pPr>
      <w:r w:rsidRPr="006F1EEC">
        <w:t>matrix transport</w:t>
      </w:r>
    </w:p>
    <w:p w14:paraId="3C445B27" w14:textId="77777777" w:rsidR="003E3FB2" w:rsidRPr="006F1EEC" w:rsidRDefault="003E3FB2" w:rsidP="008F2680">
      <w:pPr>
        <w:pStyle w:val="Listeafsnit"/>
        <w:numPr>
          <w:ilvl w:val="1"/>
          <w:numId w:val="7"/>
        </w:numPr>
        <w:spacing w:after="160" w:line="259" w:lineRule="auto"/>
        <w:jc w:val="left"/>
      </w:pPr>
      <w:r w:rsidRPr="006F1EEC">
        <w:t>fracture transport</w:t>
      </w:r>
    </w:p>
    <w:p w14:paraId="2569BBB0" w14:textId="77777777" w:rsidR="003E3FB2" w:rsidRPr="006F1EEC" w:rsidRDefault="003E3FB2" w:rsidP="008F2680">
      <w:pPr>
        <w:pStyle w:val="Listeafsnit"/>
        <w:numPr>
          <w:ilvl w:val="1"/>
          <w:numId w:val="7"/>
        </w:numPr>
        <w:spacing w:after="160" w:line="259" w:lineRule="auto"/>
        <w:jc w:val="left"/>
      </w:pPr>
      <w:r w:rsidRPr="006F1EEC">
        <w:t>natural faults</w:t>
      </w:r>
    </w:p>
    <w:p w14:paraId="64522494" w14:textId="77777777" w:rsidR="003E3FB2" w:rsidRPr="006F1EEC" w:rsidRDefault="003E3FB2" w:rsidP="008F2680">
      <w:pPr>
        <w:pStyle w:val="Listeafsnit"/>
        <w:numPr>
          <w:ilvl w:val="0"/>
          <w:numId w:val="7"/>
        </w:numPr>
        <w:spacing w:after="160" w:line="259" w:lineRule="auto"/>
        <w:jc w:val="left"/>
      </w:pPr>
      <w:r w:rsidRPr="006F1EEC">
        <w:t>anthropogenic</w:t>
      </w:r>
    </w:p>
    <w:p w14:paraId="3E523335" w14:textId="77777777" w:rsidR="003E3FB2" w:rsidRPr="006F1EEC" w:rsidRDefault="003E3FB2" w:rsidP="008F2680">
      <w:pPr>
        <w:pStyle w:val="Listeafsnit"/>
        <w:numPr>
          <w:ilvl w:val="1"/>
          <w:numId w:val="7"/>
        </w:numPr>
        <w:spacing w:after="160" w:line="259" w:lineRule="auto"/>
        <w:jc w:val="left"/>
      </w:pPr>
      <w:r w:rsidRPr="006F1EEC">
        <w:t>infrastructure (wells, mines, . . .)</w:t>
      </w:r>
    </w:p>
    <w:p w14:paraId="37779964" w14:textId="77777777" w:rsidR="00887088" w:rsidRDefault="003E3FB2" w:rsidP="008F2680">
      <w:pPr>
        <w:pStyle w:val="Listeafsnit"/>
        <w:numPr>
          <w:ilvl w:val="1"/>
          <w:numId w:val="7"/>
        </w:numPr>
        <w:spacing w:after="160" w:line="259" w:lineRule="auto"/>
        <w:jc w:val="left"/>
      </w:pPr>
      <w:r w:rsidRPr="006F1EEC">
        <w:t>induced fracture</w:t>
      </w:r>
      <w:r w:rsidR="00887088">
        <w:t>s</w:t>
      </w:r>
    </w:p>
    <w:p w14:paraId="7283523D" w14:textId="733C5735" w:rsidR="003E3FB2" w:rsidRPr="006F1EEC" w:rsidRDefault="00887088" w:rsidP="008F2680">
      <w:pPr>
        <w:pStyle w:val="Listeafsnit"/>
        <w:numPr>
          <w:ilvl w:val="1"/>
          <w:numId w:val="7"/>
        </w:numPr>
        <w:spacing w:after="160" w:line="259" w:lineRule="auto"/>
        <w:jc w:val="left"/>
      </w:pPr>
      <w:r>
        <w:t>fault modification</w:t>
      </w:r>
    </w:p>
    <w:p w14:paraId="47008D80" w14:textId="0E35521C" w:rsidR="003E3FB2" w:rsidRPr="006F1EEC" w:rsidRDefault="009649FE" w:rsidP="003E3FB2">
      <w:r>
        <w:rPr>
          <w:b/>
        </w:rPr>
        <w:t>R</w:t>
      </w:r>
      <w:r w:rsidR="003E3FB2" w:rsidRPr="006F1EEC">
        <w:rPr>
          <w:b/>
        </w:rPr>
        <w:t>isk</w:t>
      </w:r>
      <w:r w:rsidR="00A4541F">
        <w:t xml:space="preserve"> – combination of </w:t>
      </w:r>
      <w:r w:rsidR="00707F78">
        <w:t>likelihood of occurrence of</w:t>
      </w:r>
      <w:r w:rsidR="003E3FB2" w:rsidRPr="006F1EEC">
        <w:t xml:space="preserve"> </w:t>
      </w:r>
      <w:r w:rsidR="00A4541F">
        <w:t>and severity of adverse impact</w:t>
      </w:r>
    </w:p>
    <w:p w14:paraId="01C35B0E" w14:textId="019C5802" w:rsidR="00D7279A" w:rsidRDefault="009649FE" w:rsidP="003E3FB2">
      <w:pPr>
        <w:rPr>
          <w:b/>
        </w:rPr>
      </w:pPr>
      <w:r>
        <w:rPr>
          <w:b/>
        </w:rPr>
        <w:t>S</w:t>
      </w:r>
      <w:r w:rsidR="00D7279A">
        <w:rPr>
          <w:b/>
        </w:rPr>
        <w:t>usceptibility</w:t>
      </w:r>
      <w:r w:rsidR="00D7279A" w:rsidRPr="00D7279A">
        <w:t xml:space="preserve"> – </w:t>
      </w:r>
      <w:r w:rsidR="001778E4">
        <w:t xml:space="preserve">synonym of </w:t>
      </w:r>
      <w:r w:rsidR="00D7279A" w:rsidRPr="00D7279A">
        <w:t>intrinsic vulnerability</w:t>
      </w:r>
      <w:r w:rsidR="00707F78">
        <w:t xml:space="preserve"> (see Vulnerability)</w:t>
      </w:r>
    </w:p>
    <w:p w14:paraId="0FD3AB08" w14:textId="224BFF83" w:rsidR="003E3FB2" w:rsidRPr="006F1EEC" w:rsidRDefault="009649FE" w:rsidP="003E3FB2">
      <w:r>
        <w:rPr>
          <w:b/>
        </w:rPr>
        <w:t>V</w:t>
      </w:r>
      <w:r w:rsidR="003E3FB2" w:rsidRPr="006F1EEC">
        <w:rPr>
          <w:b/>
        </w:rPr>
        <w:t>ulnerability</w:t>
      </w:r>
      <w:r w:rsidR="003E3FB2" w:rsidRPr="006F1EEC">
        <w:t xml:space="preserve"> – size of risk (depending on available data and knowledge either a relative dimensionless property (qualitative) or a quantitative property which can be determined objectively)</w:t>
      </w:r>
    </w:p>
    <w:p w14:paraId="46551B1C" w14:textId="77777777" w:rsidR="003E3FB2" w:rsidRPr="006F1EEC" w:rsidRDefault="003E3FB2" w:rsidP="008F2680">
      <w:pPr>
        <w:pStyle w:val="Listeafsnit"/>
        <w:numPr>
          <w:ilvl w:val="0"/>
          <w:numId w:val="7"/>
        </w:numPr>
        <w:spacing w:after="160" w:line="259" w:lineRule="auto"/>
        <w:jc w:val="left"/>
      </w:pPr>
      <w:r w:rsidRPr="006F1EEC">
        <w:t>intrinsic – based on subsurface conditions and groundwater system only</w:t>
      </w:r>
    </w:p>
    <w:p w14:paraId="49FDECC5" w14:textId="23F88952" w:rsidR="003E3FB2" w:rsidRDefault="003E3FB2" w:rsidP="008F2680">
      <w:pPr>
        <w:pStyle w:val="Listeafsnit"/>
        <w:numPr>
          <w:ilvl w:val="0"/>
          <w:numId w:val="7"/>
        </w:numPr>
        <w:spacing w:after="160" w:line="259" w:lineRule="auto"/>
        <w:jc w:val="left"/>
      </w:pPr>
      <w:r w:rsidRPr="006F1EEC">
        <w:t xml:space="preserve">specific – </w:t>
      </w:r>
      <w:r w:rsidR="00707F78">
        <w:t>intrinsic vulnerability combined with energy-related</w:t>
      </w:r>
      <w:r w:rsidRPr="006F1EEC">
        <w:t xml:space="preserve"> activity and contaminant</w:t>
      </w:r>
    </w:p>
    <w:p w14:paraId="539FA4FC" w14:textId="2CB03998" w:rsidR="00F4644A" w:rsidRDefault="00F4644A" w:rsidP="008F2680">
      <w:pPr>
        <w:pStyle w:val="Listeafsnit"/>
        <w:numPr>
          <w:ilvl w:val="0"/>
          <w:numId w:val="7"/>
        </w:numPr>
        <w:spacing w:after="160" w:line="259" w:lineRule="auto"/>
        <w:jc w:val="left"/>
      </w:pPr>
      <w:r>
        <w:t>qualitative – relative risk labelled with descriptive term like “high” or “low”</w:t>
      </w:r>
    </w:p>
    <w:p w14:paraId="7F9E3636" w14:textId="57244BBF" w:rsidR="00F4644A" w:rsidRDefault="00F4644A" w:rsidP="008F2680">
      <w:pPr>
        <w:pStyle w:val="Listeafsnit"/>
        <w:numPr>
          <w:ilvl w:val="0"/>
          <w:numId w:val="7"/>
        </w:numPr>
        <w:spacing w:after="160" w:line="259" w:lineRule="auto"/>
        <w:jc w:val="left"/>
      </w:pPr>
      <w:r>
        <w:t>quantitative – absolute numerical quantification of risk</w:t>
      </w:r>
    </w:p>
    <w:p w14:paraId="10B5C8F0" w14:textId="2D2FE2F4" w:rsidR="00D7279A" w:rsidRPr="00F4644A" w:rsidRDefault="00D7279A" w:rsidP="00D7279A">
      <w:pPr>
        <w:spacing w:after="160" w:line="259" w:lineRule="auto"/>
        <w:jc w:val="left"/>
      </w:pPr>
    </w:p>
    <w:p w14:paraId="2D71151D" w14:textId="77777777" w:rsidR="003E3FB2" w:rsidRPr="006F1EEC" w:rsidRDefault="003E3FB2" w:rsidP="003E3FB2">
      <w:pPr>
        <w:pStyle w:val="Overskrift1"/>
      </w:pPr>
      <w:bookmarkStart w:id="20" w:name="_Toc527472383"/>
      <w:bookmarkStart w:id="21" w:name="_Ref535576101"/>
      <w:bookmarkStart w:id="22" w:name="_Toc14425370"/>
      <w:r w:rsidRPr="006F1EEC">
        <w:t>Relevant processes and pathways</w:t>
      </w:r>
      <w:bookmarkEnd w:id="20"/>
      <w:bookmarkEnd w:id="21"/>
      <w:bookmarkEnd w:id="22"/>
    </w:p>
    <w:p w14:paraId="6F82555D" w14:textId="12E145E3" w:rsidR="000B394B" w:rsidRDefault="000B394B" w:rsidP="003E3FB2"/>
    <w:p w14:paraId="6742BEC0" w14:textId="266E7047" w:rsidR="003C3D08" w:rsidRDefault="003C3D08" w:rsidP="003C3D08">
      <w:pPr>
        <w:pStyle w:val="Overskrift2"/>
      </w:pPr>
      <w:bookmarkStart w:id="23" w:name="_Toc14425371"/>
      <w:r>
        <w:t>Introduction</w:t>
      </w:r>
      <w:bookmarkEnd w:id="23"/>
    </w:p>
    <w:p w14:paraId="60CF7C52" w14:textId="77777777" w:rsidR="003C3D08" w:rsidRPr="006F1EEC" w:rsidRDefault="003C3D08" w:rsidP="003E3FB2"/>
    <w:p w14:paraId="20C41ACD" w14:textId="3A8BDF9B" w:rsidR="003B3BA3" w:rsidRPr="00643167" w:rsidRDefault="00643167" w:rsidP="00604EA0">
      <w:r>
        <w:t>The variety of e</w:t>
      </w:r>
      <w:r w:rsidR="008D7C50">
        <w:t>ner</w:t>
      </w:r>
      <w:r w:rsidR="00B9071F">
        <w:t>gy-related</w:t>
      </w:r>
      <w:r w:rsidR="008D7C50">
        <w:t xml:space="preserve"> activities in subsurface ha</w:t>
      </w:r>
      <w:r>
        <w:t>s</w:t>
      </w:r>
      <w:r w:rsidR="008D7C50">
        <w:t xml:space="preserve"> grown in recent years and </w:t>
      </w:r>
      <w:r>
        <w:t>is</w:t>
      </w:r>
      <w:r w:rsidR="008D7C50">
        <w:t xml:space="preserve"> expected to continue to grow</w:t>
      </w:r>
      <w:r>
        <w:t xml:space="preserve">, </w:t>
      </w:r>
      <w:r w:rsidR="00604EA0">
        <w:t>because of further development of c</w:t>
      </w:r>
      <w:r w:rsidR="008D7C50">
        <w:t>arbon capture and sequestration</w:t>
      </w:r>
      <w:r>
        <w:t>;</w:t>
      </w:r>
      <w:r w:rsidR="00604EA0">
        <w:t xml:space="preserve"> exploitation of u</w:t>
      </w:r>
      <w:r w:rsidR="008D7C50">
        <w:t>nconventional oil and gas</w:t>
      </w:r>
      <w:r w:rsidR="00604EA0">
        <w:t>; usage of g</w:t>
      </w:r>
      <w:r w:rsidR="008D7C50">
        <w:t>eothermal energy</w:t>
      </w:r>
      <w:r w:rsidR="00604EA0">
        <w:t xml:space="preserve"> and the t</w:t>
      </w:r>
      <w:r w:rsidRPr="00643167">
        <w:t>emporary s</w:t>
      </w:r>
      <w:r w:rsidR="008D7C50" w:rsidRPr="00643167">
        <w:t>torage</w:t>
      </w:r>
      <w:r w:rsidRPr="00643167">
        <w:t xml:space="preserve"> (buffering)</w:t>
      </w:r>
      <w:r w:rsidR="008D7C50" w:rsidRPr="00643167">
        <w:t xml:space="preserve"> of hydrogen</w:t>
      </w:r>
      <w:r w:rsidRPr="00643167">
        <w:t xml:space="preserve"> or heat.</w:t>
      </w:r>
      <w:r w:rsidR="00B920E2">
        <w:t xml:space="preserve"> </w:t>
      </w:r>
      <w:r w:rsidR="003B3BA3">
        <w:t xml:space="preserve">Moreover, </w:t>
      </w:r>
      <w:r w:rsidR="002D3D95">
        <w:t xml:space="preserve">the usage of conventional oil and gas will not be terminated very soon and </w:t>
      </w:r>
      <w:r>
        <w:t xml:space="preserve">the aging of existing infrastructure raises </w:t>
      </w:r>
      <w:r w:rsidR="003B3BA3">
        <w:t>new concerns</w:t>
      </w:r>
      <w:r>
        <w:t xml:space="preserve"> about </w:t>
      </w:r>
      <w:r w:rsidR="00604EA0">
        <w:t>the l</w:t>
      </w:r>
      <w:r>
        <w:t>ong term integrity of wells</w:t>
      </w:r>
      <w:r w:rsidR="00604EA0">
        <w:t xml:space="preserve"> and the me</w:t>
      </w:r>
      <w:r w:rsidRPr="00643167">
        <w:t>asures needed after d</w:t>
      </w:r>
      <w:r w:rsidR="003B3BA3" w:rsidRPr="00643167">
        <w:t>ecommissioning</w:t>
      </w:r>
      <w:r w:rsidRPr="00643167">
        <w:t>.</w:t>
      </w:r>
    </w:p>
    <w:p w14:paraId="62BFE907" w14:textId="1EB1431F" w:rsidR="003B3BA3" w:rsidRDefault="003B3BA3" w:rsidP="003B3BA3"/>
    <w:p w14:paraId="05DF4A73" w14:textId="4E919D48" w:rsidR="003B3BA3" w:rsidRPr="003B3BA3" w:rsidRDefault="00643167" w:rsidP="003B3BA3">
      <w:r>
        <w:t>New ener</w:t>
      </w:r>
      <w:r w:rsidR="00B9071F">
        <w:t>gy-related</w:t>
      </w:r>
      <w:r>
        <w:t xml:space="preserve"> activities are related to</w:t>
      </w:r>
      <w:r w:rsidR="003B3BA3" w:rsidRPr="003B3BA3">
        <w:t xml:space="preserve"> </w:t>
      </w:r>
      <w:r>
        <w:t>several Societal C</w:t>
      </w:r>
      <w:r w:rsidR="003B3BA3" w:rsidRPr="003B3BA3">
        <w:t xml:space="preserve">hallenges </w:t>
      </w:r>
      <w:r>
        <w:t xml:space="preserve">which are the subject of a </w:t>
      </w:r>
      <w:r w:rsidR="003B3BA3" w:rsidRPr="003B3BA3">
        <w:t>number of EU programmes, including;</w:t>
      </w:r>
    </w:p>
    <w:p w14:paraId="0196F41A" w14:textId="77777777" w:rsidR="00643167" w:rsidRDefault="003B3BA3" w:rsidP="008F2680">
      <w:pPr>
        <w:pStyle w:val="Listeafsnit"/>
        <w:numPr>
          <w:ilvl w:val="0"/>
          <w:numId w:val="7"/>
        </w:numPr>
      </w:pPr>
      <w:r w:rsidRPr="00643167">
        <w:t>Horizon 2020: Secure, Clean and Efficient Energy to support the transition to a reliable, sustainable</w:t>
      </w:r>
      <w:r w:rsidR="00643167" w:rsidRPr="00643167">
        <w:t xml:space="preserve"> </w:t>
      </w:r>
      <w:r w:rsidRPr="00643167">
        <w:t>and competitive energy system; Climate Action, Environment, Resource Efficiency and Raw</w:t>
      </w:r>
      <w:r w:rsidR="00643167" w:rsidRPr="00643167">
        <w:t xml:space="preserve"> </w:t>
      </w:r>
      <w:r w:rsidRPr="00643167">
        <w:t>Materials to increase European competitiveness at the same time as assuring environmental</w:t>
      </w:r>
      <w:r w:rsidR="00643167" w:rsidRPr="00643167">
        <w:t xml:space="preserve"> </w:t>
      </w:r>
      <w:r w:rsidRPr="00643167">
        <w:t>integrity.</w:t>
      </w:r>
    </w:p>
    <w:p w14:paraId="4F851299" w14:textId="77777777" w:rsidR="00643167" w:rsidRDefault="003B3BA3" w:rsidP="008F2680">
      <w:pPr>
        <w:pStyle w:val="Listeafsnit"/>
        <w:numPr>
          <w:ilvl w:val="0"/>
          <w:numId w:val="7"/>
        </w:numPr>
      </w:pPr>
      <w:r w:rsidRPr="00643167">
        <w:t>SET-Plan: To accelerate the development and deployment of low-carbon technologies.</w:t>
      </w:r>
    </w:p>
    <w:p w14:paraId="440D64C4" w14:textId="0268D708" w:rsidR="003B3BA3" w:rsidRPr="00643167" w:rsidRDefault="003B3BA3" w:rsidP="008F2680">
      <w:pPr>
        <w:pStyle w:val="Listeafsnit"/>
        <w:numPr>
          <w:ilvl w:val="0"/>
          <w:numId w:val="7"/>
        </w:numPr>
      </w:pPr>
      <w:r w:rsidRPr="00643167">
        <w:t>The EU Water Framework Directive – integrated river basin management for Europe Directive</w:t>
      </w:r>
      <w:r w:rsidR="00643167" w:rsidRPr="00643167">
        <w:t xml:space="preserve"> </w:t>
      </w:r>
      <w:r w:rsidRPr="00643167">
        <w:t>2000/60/EC (WFD) and its daughter Groundwater Directive (GWD) 2006/118/EC on the protection</w:t>
      </w:r>
      <w:r w:rsidR="00643167" w:rsidRPr="00643167">
        <w:t xml:space="preserve"> </w:t>
      </w:r>
      <w:r w:rsidRPr="00643167">
        <w:t>of groundwater against pollution and deterioration.</w:t>
      </w:r>
    </w:p>
    <w:p w14:paraId="0FB24CCE" w14:textId="77777777" w:rsidR="000D34AD" w:rsidRDefault="000D34AD" w:rsidP="003B3BA3"/>
    <w:p w14:paraId="2EAC0FCA" w14:textId="43922CA4" w:rsidR="003B3BA3" w:rsidRPr="003B3BA3" w:rsidRDefault="000D34AD" w:rsidP="000D34AD">
      <w:r>
        <w:t xml:space="preserve">There </w:t>
      </w:r>
      <w:r w:rsidR="002D3D95">
        <w:t>are</w:t>
      </w:r>
      <w:r>
        <w:t xml:space="preserve"> a</w:t>
      </w:r>
      <w:r w:rsidR="003B3BA3" w:rsidRPr="003B3BA3">
        <w:t xml:space="preserve"> number of EU projects </w:t>
      </w:r>
      <w:r>
        <w:t>which address an</w:t>
      </w:r>
      <w:r w:rsidR="003B3BA3" w:rsidRPr="003B3BA3">
        <w:t xml:space="preserve"> energy technologies and cover linked environmental impacts</w:t>
      </w:r>
      <w:r>
        <w:t>:</w:t>
      </w:r>
      <w:r w:rsidR="003B3BA3" w:rsidRPr="003B3BA3">
        <w:t xml:space="preserve"> </w:t>
      </w:r>
    </w:p>
    <w:p w14:paraId="45756846" w14:textId="793A8252" w:rsidR="000D34AD" w:rsidRDefault="000D34AD" w:rsidP="008F2680">
      <w:pPr>
        <w:pStyle w:val="Listeafsnit"/>
        <w:numPr>
          <w:ilvl w:val="0"/>
          <w:numId w:val="7"/>
        </w:numPr>
      </w:pPr>
      <w:r>
        <w:t>Projects in the Energy Theme of GeoERA;</w:t>
      </w:r>
    </w:p>
    <w:p w14:paraId="30D3D1BB" w14:textId="204FEFF2" w:rsidR="000D34AD" w:rsidRDefault="003B3BA3" w:rsidP="008F2680">
      <w:pPr>
        <w:pStyle w:val="Listeafsnit"/>
        <w:numPr>
          <w:ilvl w:val="0"/>
          <w:numId w:val="7"/>
        </w:numPr>
      </w:pPr>
      <w:r w:rsidRPr="000D34AD">
        <w:t>2018-2021 EU H2020 SECURe project (Sub-surface Evaluation of Carbon capture and</w:t>
      </w:r>
      <w:r w:rsidR="000D34AD" w:rsidRPr="000D34AD">
        <w:t xml:space="preserve"> </w:t>
      </w:r>
      <w:r w:rsidRPr="000D34AD">
        <w:t>storage and Unconventional Risk)</w:t>
      </w:r>
      <w:r w:rsidR="000D34AD">
        <w:t>;</w:t>
      </w:r>
    </w:p>
    <w:p w14:paraId="06468F13" w14:textId="60684FE3" w:rsidR="000D34AD" w:rsidRDefault="000D34AD" w:rsidP="008F2680">
      <w:pPr>
        <w:pStyle w:val="Listeafsnit"/>
        <w:numPr>
          <w:ilvl w:val="0"/>
          <w:numId w:val="7"/>
        </w:numPr>
      </w:pPr>
      <w:r w:rsidRPr="000D34AD">
        <w:t>FP7-EU-project HyUnder (large scale underground hydrogen storage in Europe);</w:t>
      </w:r>
    </w:p>
    <w:p w14:paraId="4D42B094" w14:textId="77777777" w:rsidR="000D34AD" w:rsidRDefault="003B3BA3" w:rsidP="008F2680">
      <w:pPr>
        <w:pStyle w:val="Listeafsnit"/>
        <w:numPr>
          <w:ilvl w:val="0"/>
          <w:numId w:val="7"/>
        </w:numPr>
      </w:pPr>
      <w:r w:rsidRPr="000D34AD">
        <w:t>2015-2018 H2020 FracRISK (Furthering the Knowledge Base for Reducing the</w:t>
      </w:r>
      <w:r w:rsidR="000D34AD" w:rsidRPr="000D34AD">
        <w:t xml:space="preserve"> </w:t>
      </w:r>
      <w:r w:rsidRPr="000D34AD">
        <w:t>Environmental Foot</w:t>
      </w:r>
      <w:r w:rsidR="000D34AD">
        <w:t>print of Shale Gas Development);</w:t>
      </w:r>
    </w:p>
    <w:p w14:paraId="757CE844" w14:textId="77777777" w:rsidR="000D34AD" w:rsidRDefault="003B3BA3" w:rsidP="008F2680">
      <w:pPr>
        <w:pStyle w:val="Listeafsnit"/>
        <w:numPr>
          <w:ilvl w:val="0"/>
          <w:numId w:val="7"/>
        </w:numPr>
      </w:pPr>
      <w:r w:rsidRPr="000D34AD">
        <w:t xml:space="preserve">2015-2018 EU H2020 SHEER project (Shale gas Exploration </w:t>
      </w:r>
      <w:r w:rsidR="000D34AD">
        <w:t>and Exploitation induced Risks);</w:t>
      </w:r>
    </w:p>
    <w:p w14:paraId="15B91170" w14:textId="00491B0F" w:rsidR="006268BF" w:rsidRDefault="003B3BA3" w:rsidP="008F2680">
      <w:pPr>
        <w:pStyle w:val="Listeafsnit"/>
        <w:numPr>
          <w:ilvl w:val="0"/>
          <w:numId w:val="7"/>
        </w:numPr>
      </w:pPr>
      <w:r w:rsidRPr="006268BF">
        <w:t>2015-2017, EU H2020 M4ShaleGas (Measuring, Monitoring, Mitigating, Managing the</w:t>
      </w:r>
      <w:r w:rsidR="000D34AD" w:rsidRPr="006268BF">
        <w:t xml:space="preserve"> </w:t>
      </w:r>
      <w:r w:rsidRPr="006268BF">
        <w:t>Env</w:t>
      </w:r>
      <w:r w:rsidR="006268BF">
        <w:t>ironmental Impact of Shale Gas);</w:t>
      </w:r>
    </w:p>
    <w:p w14:paraId="58322A18" w14:textId="77777777" w:rsidR="006268BF" w:rsidRDefault="003B3BA3" w:rsidP="008F2680">
      <w:pPr>
        <w:pStyle w:val="Listeafsnit"/>
        <w:numPr>
          <w:ilvl w:val="0"/>
          <w:numId w:val="7"/>
        </w:numPr>
      </w:pPr>
      <w:r w:rsidRPr="006268BF">
        <w:t>2011-2013, EU 7th Framework CO2CARE (CO2 Site Closure Assessment Research)</w:t>
      </w:r>
      <w:r w:rsidR="006268BF" w:rsidRPr="006268BF">
        <w:t>;</w:t>
      </w:r>
    </w:p>
    <w:p w14:paraId="7B4B6545" w14:textId="77777777" w:rsidR="006268BF" w:rsidRDefault="003B3BA3" w:rsidP="008F2680">
      <w:pPr>
        <w:pStyle w:val="Listeafsnit"/>
        <w:numPr>
          <w:ilvl w:val="0"/>
          <w:numId w:val="7"/>
        </w:numPr>
      </w:pPr>
      <w:r w:rsidRPr="006268BF">
        <w:t>2017-2019 Interreg Danube</w:t>
      </w:r>
      <w:r w:rsidR="006268BF" w:rsidRPr="006268BF">
        <w:t xml:space="preserve"> </w:t>
      </w:r>
      <w:r w:rsidRPr="006268BF">
        <w:t>Transitional Programme DARLINGe (Danube Region Leading Geothermal Energy) project;</w:t>
      </w:r>
    </w:p>
    <w:p w14:paraId="40A98446" w14:textId="77777777" w:rsidR="006268BF" w:rsidRDefault="003B3BA3" w:rsidP="008F2680">
      <w:pPr>
        <w:pStyle w:val="Listeafsnit"/>
        <w:numPr>
          <w:ilvl w:val="0"/>
          <w:numId w:val="7"/>
        </w:numPr>
      </w:pPr>
      <w:r w:rsidRPr="006268BF">
        <w:t>2009-2011 EU Interreg V-A Slovenia – Hungary T-JAM; 2010 to 2013 EU CENTRAL</w:t>
      </w:r>
      <w:r w:rsidR="006268BF" w:rsidRPr="006268BF">
        <w:t xml:space="preserve"> </w:t>
      </w:r>
      <w:r w:rsidRPr="006268BF">
        <w:t>EUROPE/ERDF Transenergy (Transboundary Geothermal Energy Resources of Slovenia,</w:t>
      </w:r>
      <w:r w:rsidR="006268BF" w:rsidRPr="006268BF">
        <w:t xml:space="preserve"> </w:t>
      </w:r>
      <w:r w:rsidRPr="006268BF">
        <w:t>Austria, Hungary and Slovakia)</w:t>
      </w:r>
      <w:r w:rsidR="006268BF">
        <w:t>;</w:t>
      </w:r>
    </w:p>
    <w:p w14:paraId="2210A3D3" w14:textId="77777777" w:rsidR="00505F1A" w:rsidRDefault="003B3BA3" w:rsidP="008F2680">
      <w:pPr>
        <w:pStyle w:val="Listeafsnit"/>
        <w:numPr>
          <w:ilvl w:val="0"/>
          <w:numId w:val="7"/>
        </w:numPr>
      </w:pPr>
      <w:r w:rsidRPr="006268BF">
        <w:t>2013-2017 TOPS (Technology Options for Coupled Underground Coal Gasification and</w:t>
      </w:r>
      <w:r w:rsidR="006268BF" w:rsidRPr="006268BF">
        <w:t xml:space="preserve"> </w:t>
      </w:r>
      <w:r w:rsidRPr="006268BF">
        <w:t>CO2 Capture and Storage) project also considered impacts on groundwater</w:t>
      </w:r>
      <w:r w:rsidR="00505F1A">
        <w:t>;</w:t>
      </w:r>
    </w:p>
    <w:p w14:paraId="1252047E" w14:textId="66AA6475" w:rsidR="003B3BA3" w:rsidRPr="006268BF" w:rsidRDefault="00505F1A" w:rsidP="00505F1A">
      <w:pPr>
        <w:pStyle w:val="Listeafsnit"/>
        <w:numPr>
          <w:ilvl w:val="0"/>
          <w:numId w:val="7"/>
        </w:numPr>
      </w:pPr>
      <w:r>
        <w:t xml:space="preserve">2017-2021 Geothermica ERA NET: </w:t>
      </w:r>
      <w:r w:rsidRPr="00505F1A">
        <w:t>overall aim of this collaborative action is to accelerate the deployment of geothermal energy in Europe</w:t>
      </w:r>
      <w:r w:rsidR="003B3BA3" w:rsidRPr="006268BF">
        <w:t>.</w:t>
      </w:r>
    </w:p>
    <w:p w14:paraId="405C99C5" w14:textId="77777777" w:rsidR="003C3D08" w:rsidRDefault="003C3D08" w:rsidP="003C3D08">
      <w:pPr>
        <w:pStyle w:val="Overskrift2"/>
      </w:pPr>
      <w:bookmarkStart w:id="24" w:name="_Toc14425372"/>
      <w:r>
        <w:t>Consequences from energy-related activities</w:t>
      </w:r>
      <w:bookmarkEnd w:id="24"/>
    </w:p>
    <w:p w14:paraId="4FAE922D" w14:textId="77777777" w:rsidR="003C3D08" w:rsidRDefault="003C3D08" w:rsidP="002D0022"/>
    <w:p w14:paraId="32FC2F4C" w14:textId="61B27EB3" w:rsidR="006C1BD2" w:rsidRDefault="006C1BD2" w:rsidP="006C1BD2">
      <w:r>
        <w:t xml:space="preserve">Subsurface energy-related activities generally target </w:t>
      </w:r>
      <w:r w:rsidR="00B20FC2">
        <w:t>formations</w:t>
      </w:r>
      <w:r>
        <w:t xml:space="preserve"> outside of aquifers containing groundwater resources. Therefore pathways are needed for the energy-related activities to become a potential hazard to groundwater resources. </w:t>
      </w:r>
      <w:r w:rsidRPr="003B3BA3">
        <w:t>Threats</w:t>
      </w:r>
      <w:r>
        <w:t xml:space="preserve"> or hazards</w:t>
      </w:r>
      <w:r w:rsidRPr="003B3BA3">
        <w:t xml:space="preserve"> include</w:t>
      </w:r>
      <w:r>
        <w:t xml:space="preserve"> </w:t>
      </w:r>
      <w:r w:rsidRPr="003B3BA3">
        <w:t>the introduction of new chemicals (potential pollutants), disturbing</w:t>
      </w:r>
      <w:r>
        <w:t xml:space="preserve"> or </w:t>
      </w:r>
      <w:r w:rsidRPr="003B3BA3">
        <w:t>mobilising existing</w:t>
      </w:r>
      <w:r>
        <w:t xml:space="preserve"> </w:t>
      </w:r>
      <w:r w:rsidRPr="003B3BA3">
        <w:t>natural contaminants</w:t>
      </w:r>
      <w:r>
        <w:t>, and</w:t>
      </w:r>
      <w:r w:rsidRPr="003B3BA3">
        <w:t xml:space="preserve"> changing the permeability structure of the </w:t>
      </w:r>
      <w:r>
        <w:t>subsurface</w:t>
      </w:r>
      <w:r w:rsidRPr="003B3BA3">
        <w:t xml:space="preserve"> (introducing new</w:t>
      </w:r>
      <w:r>
        <w:t xml:space="preserve"> </w:t>
      </w:r>
      <w:r w:rsidRPr="003B3BA3">
        <w:t xml:space="preserve">pathways). </w:t>
      </w:r>
      <w:r w:rsidR="00FE1681">
        <w:t xml:space="preserve">Besides a pathway, a driving force is needed </w:t>
      </w:r>
      <w:r w:rsidR="00982891">
        <w:t xml:space="preserve">to </w:t>
      </w:r>
      <w:r w:rsidR="00FE1681">
        <w:t>propagate the effect into the groundwater resource. Pressure changes due to the energy-related activity are important for the driving force. Because of this</w:t>
      </w:r>
      <w:r w:rsidR="00982891">
        <w:t>,</w:t>
      </w:r>
      <w:r w:rsidR="00FE1681">
        <w:t xml:space="preserve"> it is useful to distinguish between injection, extraction and pressure-neutral activities.</w:t>
      </w:r>
    </w:p>
    <w:p w14:paraId="0FAF3301" w14:textId="77777777" w:rsidR="006C1BD2" w:rsidRDefault="006C1BD2" w:rsidP="006C1BD2"/>
    <w:p w14:paraId="7BD30778" w14:textId="7F5B11EA" w:rsidR="00772460" w:rsidRDefault="002D3D95" w:rsidP="002D0022">
      <w:r>
        <w:t>Groundwater contamination can occur throughout the d</w:t>
      </w:r>
      <w:r w:rsidR="003C3D08">
        <w:t>ifferent phases of ener</w:t>
      </w:r>
      <w:r w:rsidR="00B9071F">
        <w:t>gy-related</w:t>
      </w:r>
      <w:r w:rsidR="003C3D08">
        <w:t xml:space="preserve"> </w:t>
      </w:r>
      <w:r>
        <w:t xml:space="preserve">subsurface </w:t>
      </w:r>
      <w:r w:rsidR="003C3D08">
        <w:t>activities</w:t>
      </w:r>
      <w:r>
        <w:t>. W</w:t>
      </w:r>
      <w:r w:rsidR="00FB604D">
        <w:t>e distinguish:</w:t>
      </w:r>
    </w:p>
    <w:p w14:paraId="3C7869C8" w14:textId="6B1D63D7" w:rsidR="00FB604D" w:rsidRDefault="00FB604D" w:rsidP="00FB604D">
      <w:pPr>
        <w:pStyle w:val="Listeafsnit"/>
        <w:numPr>
          <w:ilvl w:val="0"/>
          <w:numId w:val="7"/>
        </w:numPr>
      </w:pPr>
      <w:r>
        <w:t>Exploration;</w:t>
      </w:r>
    </w:p>
    <w:p w14:paraId="618C239E" w14:textId="6C936384" w:rsidR="00FB604D" w:rsidRDefault="00FB604D" w:rsidP="00FB604D">
      <w:pPr>
        <w:pStyle w:val="Listeafsnit"/>
        <w:numPr>
          <w:ilvl w:val="0"/>
          <w:numId w:val="7"/>
        </w:numPr>
      </w:pPr>
      <w:r>
        <w:t>Installation;</w:t>
      </w:r>
    </w:p>
    <w:p w14:paraId="6D5D9D36" w14:textId="60CE0926" w:rsidR="00FB604D" w:rsidRDefault="00FB604D" w:rsidP="00FB604D">
      <w:pPr>
        <w:pStyle w:val="Listeafsnit"/>
        <w:numPr>
          <w:ilvl w:val="0"/>
          <w:numId w:val="7"/>
        </w:numPr>
      </w:pPr>
      <w:r>
        <w:t>Exploitation;</w:t>
      </w:r>
    </w:p>
    <w:p w14:paraId="5B41E865" w14:textId="12887BF3" w:rsidR="00FB604D" w:rsidRDefault="00FB604D" w:rsidP="00FB604D">
      <w:pPr>
        <w:pStyle w:val="Listeafsnit"/>
        <w:numPr>
          <w:ilvl w:val="0"/>
          <w:numId w:val="7"/>
        </w:numPr>
      </w:pPr>
      <w:r>
        <w:t>Decommissioning;</w:t>
      </w:r>
    </w:p>
    <w:p w14:paraId="1907DD9D" w14:textId="4A736D4C" w:rsidR="00FB604D" w:rsidRPr="00FB604D" w:rsidRDefault="00FB604D" w:rsidP="00FB604D">
      <w:pPr>
        <w:pStyle w:val="Listeafsnit"/>
        <w:numPr>
          <w:ilvl w:val="0"/>
          <w:numId w:val="7"/>
        </w:numPr>
      </w:pPr>
      <w:r>
        <w:t>Post-operation.</w:t>
      </w:r>
    </w:p>
    <w:p w14:paraId="3B5D0320" w14:textId="77777777" w:rsidR="00604EA0" w:rsidRDefault="00604EA0" w:rsidP="00582033"/>
    <w:p w14:paraId="6C6D324A" w14:textId="0BD667E9" w:rsidR="00582033" w:rsidRDefault="00B20FC2" w:rsidP="00582033">
      <w:r>
        <w:t>T</w:t>
      </w:r>
      <w:r w:rsidR="00FB604D">
        <w:t>he exploration and installation phases</w:t>
      </w:r>
      <w:r>
        <w:t xml:space="preserve"> generally include drilling and finishing boreholes</w:t>
      </w:r>
      <w:r w:rsidR="00582033">
        <w:t xml:space="preserve"> as physical disturbance of the subsurface. The installation phase may also consist of the enhancement of permeability by hydraulic fracturing</w:t>
      </w:r>
      <w:r w:rsidR="0025164A">
        <w:t>. This is relatively new and therefor the risks and mitigation measures are less well understood</w:t>
      </w:r>
      <w:r w:rsidR="00582033">
        <w:t xml:space="preserve">. </w:t>
      </w:r>
      <w:r w:rsidR="0025164A">
        <w:t>The potential effects in the exploitation phase depend strongly on the pressure effect of the activity, whether the exploitation is injection (increasing pressure), extraction (decreasing pressure) or pressure neutral (no or combined injection and extraction).</w:t>
      </w:r>
      <w:r w:rsidR="00582033">
        <w:t xml:space="preserve"> Decommissioning should include measures which make sure that installed infrastructure and other subsurface changes do not cause risks in the post-operation phase when they are not monitored anymore and have no further economic use.</w:t>
      </w:r>
    </w:p>
    <w:p w14:paraId="667CD911" w14:textId="742C8EBF" w:rsidR="00582033" w:rsidRDefault="00582033" w:rsidP="002D0022"/>
    <w:p w14:paraId="5C30F444" w14:textId="7C054242" w:rsidR="00976A90" w:rsidRDefault="0022757D" w:rsidP="00D230D8">
      <w:r>
        <w:t>The regulations for s</w:t>
      </w:r>
      <w:r w:rsidR="00582033">
        <w:t>ubsurface energy-related activities</w:t>
      </w:r>
      <w:r>
        <w:t xml:space="preserve"> include regulations for prevention of contamination of the subsurface. The long history of usage of conventional coal, oil and gas in many European countries means that there usually is sufficient regulation for the activities for these energy sources.</w:t>
      </w:r>
      <w:r w:rsidR="0025164A">
        <w:t xml:space="preserve"> </w:t>
      </w:r>
      <w:r w:rsidR="00D230D8">
        <w:t>The</w:t>
      </w:r>
      <w:r w:rsidR="00DD283B">
        <w:t xml:space="preserve"> in</w:t>
      </w:r>
      <w:r w:rsidR="00BE4515">
        <w:t xml:space="preserve">stallation </w:t>
      </w:r>
      <w:r w:rsidR="00DD283B">
        <w:t>and the (long term) integrity of the subsurface infrastructure</w:t>
      </w:r>
      <w:r w:rsidR="00D230D8">
        <w:t xml:space="preserve"> will pose the main threat for groundwater resources from other subsurface ener</w:t>
      </w:r>
      <w:r w:rsidR="00B9071F">
        <w:t>gy-related</w:t>
      </w:r>
      <w:r w:rsidR="00D230D8">
        <w:t xml:space="preserve"> activities also. They are the easiest to regulate and usually do receive proper attention (e.g. SODM, </w:t>
      </w:r>
      <w:r w:rsidR="00976A90">
        <w:t>2019</w:t>
      </w:r>
      <w:r w:rsidR="00D230D8">
        <w:t>)</w:t>
      </w:r>
      <w:r w:rsidR="00976A90">
        <w:t>.</w:t>
      </w:r>
    </w:p>
    <w:p w14:paraId="497A94C3" w14:textId="77777777" w:rsidR="00772460" w:rsidRDefault="00772460" w:rsidP="008C3B48"/>
    <w:p w14:paraId="52C917F6" w14:textId="6192B489" w:rsidR="00772460" w:rsidRDefault="00976A90" w:rsidP="00B91B62">
      <w:r>
        <w:t xml:space="preserve">Even though in the subsurface, </w:t>
      </w:r>
      <w:r w:rsidRPr="00976A90">
        <w:t>well casing integrity is the major concern</w:t>
      </w:r>
      <w:r w:rsidR="006268BF">
        <w:t xml:space="preserve">, there is a need </w:t>
      </w:r>
      <w:r w:rsidRPr="00976A90">
        <w:t>to better characterize</w:t>
      </w:r>
      <w:r w:rsidR="006268BF">
        <w:t xml:space="preserve"> other</w:t>
      </w:r>
      <w:r w:rsidRPr="00976A90">
        <w:t xml:space="preserve"> potential pathways</w:t>
      </w:r>
      <w:r w:rsidR="006268BF">
        <w:t xml:space="preserve"> for influences on the groundwater, especially from field pilots (Ladevèze et al., 2019).</w:t>
      </w:r>
      <w:r w:rsidR="008D1061">
        <w:t xml:space="preserve"> This holds especially for activities that involve (temporary) storage, like CO</w:t>
      </w:r>
      <w:r w:rsidR="008D1061" w:rsidRPr="008D1061">
        <w:rPr>
          <w:vertAlign w:val="subscript"/>
        </w:rPr>
        <w:t>2</w:t>
      </w:r>
      <w:r w:rsidR="008D1061">
        <w:t xml:space="preserve"> injection and buffering for temporal variations in demand for gas or oil</w:t>
      </w:r>
      <w:r w:rsidR="008A12C8">
        <w:t>, because this increases the pressure at depth, creating a gradient toward the surface</w:t>
      </w:r>
      <w:r w:rsidR="008D1061">
        <w:t xml:space="preserve">. </w:t>
      </w:r>
      <w:r w:rsidR="00B91B62">
        <w:t>In the search for efficient buffering of electrical energy from renewable sources (sun, wind) storage of compressed air (</w:t>
      </w:r>
      <w:r w:rsidR="00B91B62" w:rsidRPr="00B91B62">
        <w:t xml:space="preserve">Finkenrath </w:t>
      </w:r>
      <w:r w:rsidR="00B91B62">
        <w:t xml:space="preserve">et al., 2009) and hydrogen are considered (Luo et al., 2015). </w:t>
      </w:r>
      <w:r w:rsidR="003C4E89">
        <w:t>An important aspect f</w:t>
      </w:r>
      <w:r w:rsidR="008A12C8">
        <w:t>or</w:t>
      </w:r>
      <w:r w:rsidR="008D1061">
        <w:t xml:space="preserve"> </w:t>
      </w:r>
      <w:r w:rsidR="003C4E89">
        <w:t xml:space="preserve">the </w:t>
      </w:r>
      <w:r w:rsidR="008D1061">
        <w:t xml:space="preserve">buffering </w:t>
      </w:r>
      <w:r w:rsidR="008A12C8">
        <w:t>of</w:t>
      </w:r>
      <w:r w:rsidR="008D1061">
        <w:t xml:space="preserve"> hydrogen</w:t>
      </w:r>
      <w:r w:rsidR="003C4E89">
        <w:t xml:space="preserve"> is</w:t>
      </w:r>
      <w:r w:rsidR="008A12C8">
        <w:t xml:space="preserve"> that the permeation properties are different from natural gas and fluids so that cap rock of exploited gas reservoirs may be relatively permeable.</w:t>
      </w:r>
    </w:p>
    <w:p w14:paraId="44733F50" w14:textId="7EA9CA76" w:rsidR="008C3B48" w:rsidRDefault="008D1061" w:rsidP="008C3B48">
      <w:r>
        <w:t xml:space="preserve"> </w:t>
      </w:r>
    </w:p>
    <w:p w14:paraId="01C97BC5" w14:textId="49566175" w:rsidR="00BE4515" w:rsidRDefault="003B6492" w:rsidP="00BE4515">
      <w:pPr>
        <w:pStyle w:val="Overskrift2"/>
      </w:pPr>
      <w:bookmarkStart w:id="25" w:name="_Toc14425373"/>
      <w:r>
        <w:t>P</w:t>
      </w:r>
      <w:r w:rsidR="00BE4515">
        <w:t>athways</w:t>
      </w:r>
      <w:bookmarkEnd w:id="25"/>
    </w:p>
    <w:p w14:paraId="60C1607A" w14:textId="5792FA12" w:rsidR="003B6492" w:rsidRDefault="00157199" w:rsidP="003B6492">
      <w:r>
        <w:t xml:space="preserve">In the context of the VoGERA project, pathways convey influences of deep subsurface energy-related activities to groundwater resources. </w:t>
      </w:r>
      <w:r w:rsidR="00714DED">
        <w:t>Depending on the local geological setting natural pathways may be present. In addition to the natural pathways, anthropogenic p</w:t>
      </w:r>
      <w:r w:rsidR="003B6492">
        <w:t>athway</w:t>
      </w:r>
      <w:r w:rsidR="00714DED">
        <w:t>s may be important. The anthropogenic pathways may have been created in the past or may be a side-effect of the energy-related activity itself. The groundwater resource will be influenced by the activity if there is not only a pathway but also a driving force that propagates the effect into the groundwater resource.</w:t>
      </w:r>
      <w:r w:rsidR="00FC7CF1">
        <w:t xml:space="preserve"> Pressure changes due to the energy-related activity are important for the driving force.</w:t>
      </w:r>
    </w:p>
    <w:p w14:paraId="31DF1AD4" w14:textId="76A39F44" w:rsidR="003B6492" w:rsidRDefault="003B6492" w:rsidP="003B6492"/>
    <w:p w14:paraId="732C452A" w14:textId="77777777" w:rsidR="003B6492" w:rsidRPr="003B6492" w:rsidRDefault="003B6492" w:rsidP="00714DED"/>
    <w:p w14:paraId="5CFA7663" w14:textId="1B0F6269" w:rsidR="003B6492" w:rsidRPr="00757C86" w:rsidRDefault="003B6492" w:rsidP="00714DED">
      <w:pPr>
        <w:pStyle w:val="Overskrift3"/>
      </w:pPr>
      <w:r w:rsidRPr="00757C86">
        <w:t>Natural pathways</w:t>
      </w:r>
    </w:p>
    <w:p w14:paraId="0B8BAE23" w14:textId="34525255" w:rsidR="008A12C8" w:rsidRDefault="008A12C8" w:rsidP="00A43BAD">
      <w:r>
        <w:t>Faults are candidates for preferential pathways (</w:t>
      </w:r>
      <w:r w:rsidR="002D0022">
        <w:t>Bense et al., 2013</w:t>
      </w:r>
      <w:r>
        <w:t>). Lu &amp; Hu (2019) provide evidence for vertical transport along a fault.</w:t>
      </w:r>
      <w:r w:rsidR="006B0A75">
        <w:t xml:space="preserve"> Grasby et al. (2016) analysed temperatures and isotopes in groundwater to evaluate crustal scale fluid movement and found connections of deep groundwater systems to the surface along major faults.</w:t>
      </w:r>
      <w:r w:rsidR="00757702">
        <w:t xml:space="preserve"> Fairly et al. (2003) report the </w:t>
      </w:r>
      <w:r w:rsidR="00CB12D7">
        <w:t>existence</w:t>
      </w:r>
      <w:r w:rsidR="00757702">
        <w:t xml:space="preserve"> of local high permeability zones to large depth in the damage zones along a fault. The fault zone itself is </w:t>
      </w:r>
      <w:r w:rsidR="00215384">
        <w:t xml:space="preserve">mostly </w:t>
      </w:r>
      <w:r w:rsidR="009811C0">
        <w:t xml:space="preserve">poorly </w:t>
      </w:r>
      <w:r w:rsidR="00757702">
        <w:t>conductive.</w:t>
      </w:r>
      <w:r w:rsidR="00893F63">
        <w:t xml:space="preserve"> Llewellyn (2014) reports vertical migration of brines in the Appalachian region in </w:t>
      </w:r>
      <w:r w:rsidR="00CB12D7">
        <w:t>North-eastern</w:t>
      </w:r>
      <w:r w:rsidR="00E71C17">
        <w:t xml:space="preserve"> Pennsylvania</w:t>
      </w:r>
      <w:r w:rsidR="00893F63">
        <w:t xml:space="preserve"> (USA)</w:t>
      </w:r>
      <w:r w:rsidR="00376161">
        <w:t>. This is consistent with the findings of Warner et al</w:t>
      </w:r>
      <w:r w:rsidR="00893F63">
        <w:t>.</w:t>
      </w:r>
      <w:r w:rsidR="00376161">
        <w:t xml:space="preserve"> (2012).</w:t>
      </w:r>
      <w:r w:rsidR="00CB12D7">
        <w:t xml:space="preserve"> Fractures are less likely to provide a pathway over large distances because of their limited extent. Matrix flow </w:t>
      </w:r>
      <w:r w:rsidR="00B02764">
        <w:t>offers</w:t>
      </w:r>
      <w:r w:rsidR="00CB12D7">
        <w:t xml:space="preserve"> even less</w:t>
      </w:r>
      <w:r w:rsidR="00B02764">
        <w:t xml:space="preserve"> migration</w:t>
      </w:r>
      <w:r w:rsidR="00CB12D7">
        <w:t xml:space="preserve"> </w:t>
      </w:r>
      <w:r w:rsidR="00B02764">
        <w:t xml:space="preserve">potential, because of the low permeability. </w:t>
      </w:r>
      <w:r w:rsidR="00A43BAD">
        <w:t>And when flow is limited,</w:t>
      </w:r>
      <w:r w:rsidR="00B02764">
        <w:t xml:space="preserve"> diffusion and osmosis may play a</w:t>
      </w:r>
      <w:r w:rsidR="009811C0">
        <w:t xml:space="preserve"> more significant</w:t>
      </w:r>
      <w:r w:rsidR="00B02764">
        <w:t xml:space="preserve"> role (Griffioen et al., 2017).</w:t>
      </w:r>
    </w:p>
    <w:p w14:paraId="21479C80" w14:textId="5E60D13E" w:rsidR="008D1061" w:rsidRDefault="00B02764" w:rsidP="008C3B48">
      <w:r>
        <w:t xml:space="preserve">Some </w:t>
      </w:r>
      <w:r w:rsidR="00BD4529">
        <w:t xml:space="preserve">rock types </w:t>
      </w:r>
      <w:r>
        <w:t xml:space="preserve">have potential to </w:t>
      </w:r>
      <w:r w:rsidR="00BD4529">
        <w:t xml:space="preserve">seal </w:t>
      </w:r>
      <w:r>
        <w:t xml:space="preserve">pathways. Salt and some clays display such self-sealing behaviour. This </w:t>
      </w:r>
      <w:r w:rsidR="00A43BAD">
        <w:t>is one advantage when using s</w:t>
      </w:r>
      <w:r w:rsidR="00372273">
        <w:t>alt caverns for storage of oil and gas (e.g. van Gessel et al. 2018, Lord et al. 2011).</w:t>
      </w:r>
    </w:p>
    <w:p w14:paraId="35DAE70A" w14:textId="29DE2857" w:rsidR="003B6492" w:rsidRDefault="003B6492" w:rsidP="008C3B48"/>
    <w:p w14:paraId="683E6D37" w14:textId="08E9406B" w:rsidR="003B6492" w:rsidRPr="003B6492" w:rsidRDefault="003B6492" w:rsidP="00522604">
      <w:pPr>
        <w:pStyle w:val="Overskrift3"/>
      </w:pPr>
      <w:r w:rsidRPr="003B6492">
        <w:t>Anthropogenic</w:t>
      </w:r>
      <w:r>
        <w:t xml:space="preserve"> pathways</w:t>
      </w:r>
    </w:p>
    <w:p w14:paraId="1E4CB354" w14:textId="43483361" w:rsidR="00DA1721" w:rsidRDefault="00E71C17" w:rsidP="00FC7CF1">
      <w:r>
        <w:t>Boreholes drilled as part of a</w:t>
      </w:r>
      <w:r w:rsidR="00FC7CF1">
        <w:t xml:space="preserve"> subsurface energy-related activity are major candidates for pathways (e.g.</w:t>
      </w:r>
      <w:r w:rsidR="00FC7CF1" w:rsidRPr="00DA1721">
        <w:t xml:space="preserve"> </w:t>
      </w:r>
      <w:r w:rsidR="00DA1721" w:rsidRPr="00DA1721">
        <w:t>Ladevèze et al., 2019</w:t>
      </w:r>
      <w:r w:rsidR="00FC7CF1">
        <w:t>; SODM, 2017; US EPA, 2016</w:t>
      </w:r>
      <w:r w:rsidR="00DA1721" w:rsidRPr="00DA1721">
        <w:t>)</w:t>
      </w:r>
      <w:r w:rsidR="00B74036">
        <w:t xml:space="preserve">. They </w:t>
      </w:r>
      <w:r w:rsidR="00BD4529">
        <w:t xml:space="preserve">pose </w:t>
      </w:r>
      <w:r w:rsidR="00B74036">
        <w:t xml:space="preserve">a risk not only for the current activity, but also for future activities. Abandoned wells </w:t>
      </w:r>
      <w:r w:rsidR="006F308D" w:rsidRPr="00942A21">
        <w:t xml:space="preserve">are </w:t>
      </w:r>
      <w:r w:rsidR="00942A21" w:rsidRPr="00942A21">
        <w:t>long known to be a major risk for groun</w:t>
      </w:r>
      <w:r w:rsidR="00942A21">
        <w:t>dwater resources (Gass et al., 1977) and have been documented as migration pathways from energy-related activities (e.g. Sherwood et al., 2016, US EPA, 2016).</w:t>
      </w:r>
      <w:r>
        <w:t xml:space="preserve"> King &amp; </w:t>
      </w:r>
      <w:r w:rsidR="00E5194C">
        <w:t>Valencia (2014) discuss the risks associated with well plugging and abandonment.</w:t>
      </w:r>
    </w:p>
    <w:p w14:paraId="74FF5CB7" w14:textId="51D46D7E" w:rsidR="00E5194C" w:rsidRDefault="00E5194C" w:rsidP="00FC7CF1">
      <w:r>
        <w:t>Besides subsurface infrastructure such as boreholes and mines, anthropogenic influence may create pathways by induced fractures or modification of faults.</w:t>
      </w:r>
    </w:p>
    <w:p w14:paraId="5D611695" w14:textId="77777777" w:rsidR="00B53927" w:rsidRDefault="00B53927" w:rsidP="00B53927"/>
    <w:p w14:paraId="70AC48F6" w14:textId="77777777" w:rsidR="00B53927" w:rsidRDefault="00B53927" w:rsidP="00B53927">
      <w:pPr>
        <w:pStyle w:val="Overskrift2"/>
      </w:pPr>
      <w:bookmarkStart w:id="26" w:name="_Toc14425374"/>
      <w:r>
        <w:t>Extraction activities</w:t>
      </w:r>
      <w:bookmarkEnd w:id="26"/>
    </w:p>
    <w:p w14:paraId="1C7808B8" w14:textId="0449383A" w:rsidR="00B53927" w:rsidRDefault="00B53927" w:rsidP="00B53927">
      <w:r>
        <w:t>Extraction activities are generally involved in all subsurface energy uses, with the exception of CO</w:t>
      </w:r>
      <w:r>
        <w:rPr>
          <w:vertAlign w:val="subscript"/>
        </w:rPr>
        <w:t>2</w:t>
      </w:r>
      <w:r>
        <w:t xml:space="preserve"> storage. Subsurface energy-related activities</w:t>
      </w:r>
      <w:r w:rsidR="00793197">
        <w:t xml:space="preserve"> with predominantly extraction activities</w:t>
      </w:r>
      <w:r>
        <w:t xml:space="preserve"> include coal bed methane, and conventional and unconventional oil and gas exploitation. </w:t>
      </w:r>
      <w:r w:rsidR="00CF2701">
        <w:t>Conventional oil and gas exploitation have a long history, but exploitation of unconventional hydrocarbons is relatively unknown and there is a lack of availabl</w:t>
      </w:r>
      <w:r w:rsidR="00522604">
        <w:t>e data (e.g. Council of Canadian Academies, 2014).</w:t>
      </w:r>
    </w:p>
    <w:p w14:paraId="43F33E5B" w14:textId="77777777" w:rsidR="00B53927" w:rsidRDefault="00B53927" w:rsidP="00B53927"/>
    <w:p w14:paraId="65ABF5C8" w14:textId="77777777" w:rsidR="00B53927" w:rsidRDefault="00B53927" w:rsidP="00B53927">
      <w:r>
        <w:t xml:space="preserve">Davies et al. (2014) evaluated oil and gas databases from around the world and found varying percentages of well integrity failures up to 75%. They also address the issue of orphaned wells, which are not monitored. This evaluation is based on conventional oil and gas wells and not valid for unconventional oil and gas (Thorogood &amp; Younger, 2015). </w:t>
      </w:r>
    </w:p>
    <w:p w14:paraId="1100F9DD" w14:textId="77777777" w:rsidR="00B53927" w:rsidRDefault="00B53927" w:rsidP="00B53927"/>
    <w:p w14:paraId="6D7E3E97" w14:textId="18FA5D59" w:rsidR="00B53927" w:rsidRDefault="00B53927" w:rsidP="00B53927">
      <w:r>
        <w:t>For shale gas, while surface activities during the preparation of the exploitation phase are the main risk for the groundwater</w:t>
      </w:r>
      <w:r w:rsidRPr="00A241F8">
        <w:t xml:space="preserve"> (</w:t>
      </w:r>
      <w:r>
        <w:t xml:space="preserve">e.g. </w:t>
      </w:r>
      <w:r w:rsidRPr="00A241F8">
        <w:t>Jacobsen et al., 2015</w:t>
      </w:r>
      <w:r>
        <w:t>; Jackson, 2014; Soeder, 2018, Lefebvre, 2017, there can also be subsurface pathways for groundwater contamination. In the subsurface, the most likely pathways for contamination are the wells (e.g. Ladevèze et al., 2019). Shale gas wells drilled between the y</w:t>
      </w:r>
      <w:r w:rsidR="00E71C17">
        <w:t>ear 2000 and 2012 in Pennsylvania</w:t>
      </w:r>
      <w:r>
        <w:t xml:space="preserve"> (USA) had six times more integrity problems due to casing or cement impairment than the conventional wells drilled in the same period (Ingraffea et al., 2014). The horizontal parts of unconventional gas wells can be damaged as well, e.g. by slip of the shale, which leads to exploitation problems (Zhonglan et al., 2015). Younger (2016) argues that shale gas exploitation will not be successful when pathways are created. This ignores the fact that not all development is successful and that small concentrations of contaminants may already be harmful.</w:t>
      </w:r>
    </w:p>
    <w:p w14:paraId="1F34269C" w14:textId="77777777" w:rsidR="00B53927" w:rsidRDefault="00B53927" w:rsidP="00B53927"/>
    <w:p w14:paraId="2EB9FCF9" w14:textId="2EC92F60" w:rsidR="00B53927" w:rsidRDefault="00B53927" w:rsidP="00B53927">
      <w:r>
        <w:t>Reagan et al. (2015) performed numerical simulations to evaluate contamination from hydraulic fracturing and shale gas exploration. They concluded that the threat of gas escape incidents diminishes quickly in time</w:t>
      </w:r>
      <w:r w:rsidR="00EE72C5">
        <w:t xml:space="preserve"> following fracking</w:t>
      </w:r>
      <w:r>
        <w:t xml:space="preserve"> and is counteracted by gas production, which lowers the pressure in the reservoir. Taherdangkoo et al. (2017) also conclude from numerical </w:t>
      </w:r>
      <w:r w:rsidR="00EE72C5">
        <w:t xml:space="preserve">modelling </w:t>
      </w:r>
      <w:r>
        <w:t xml:space="preserve">that the probability of contamination </w:t>
      </w:r>
      <w:r w:rsidR="00EE72C5">
        <w:t xml:space="preserve">of </w:t>
      </w:r>
      <w:r>
        <w:t>shallow groundwater from fracking fluid is low</w:t>
      </w:r>
      <w:r w:rsidR="00EE72C5">
        <w:t>,</w:t>
      </w:r>
      <w:r>
        <w:t xml:space="preserve"> focus</w:t>
      </w:r>
      <w:r w:rsidR="00EE72C5">
        <w:t>ing</w:t>
      </w:r>
      <w:r>
        <w:t xml:space="preserve"> on a conductive fault. Birdsell et al. (2015) report a low probability</w:t>
      </w:r>
      <w:r w:rsidR="00FE1681">
        <w:t xml:space="preserve"> for this</w:t>
      </w:r>
      <w:r>
        <w:t xml:space="preserve"> both from literature and numerical simulations. </w:t>
      </w:r>
      <w:r w:rsidR="00FE1681">
        <w:t xml:space="preserve">However, </w:t>
      </w:r>
      <w:r>
        <w:t xml:space="preserve">DiGulio &amp; Jackson (2016) documented chemicals from a fracking operation in nearby drinking water wells. Moritz et al. (2015) assessed baseline methane concentrations in Quebec and concluded that hydraulic fracturing should be planned at a safe distance from natural faults to avoid groundwater contamination. Molofsky et al. (2013) investigated methane in groundwater in Northern </w:t>
      </w:r>
      <w:r w:rsidR="00E71C17">
        <w:t>Pennsylvania</w:t>
      </w:r>
      <w:r>
        <w:t xml:space="preserve"> (USA) and could explain the variations with topography and geochemistry, without migration of shale gas</w:t>
      </w:r>
      <w:r w:rsidR="00EE72C5">
        <w:t xml:space="preserve"> from the subsurface</w:t>
      </w:r>
      <w:r>
        <w:t xml:space="preserve">. </w:t>
      </w:r>
      <w:r w:rsidRPr="00E33CB4">
        <w:t>H</w:t>
      </w:r>
      <w:r>
        <w:t xml:space="preserve">ydraulic fracturing </w:t>
      </w:r>
      <w:r w:rsidRPr="00E33CB4">
        <w:t xml:space="preserve">fluid </w:t>
      </w:r>
      <w:r>
        <w:t>may</w:t>
      </w:r>
      <w:r w:rsidRPr="00E33CB4">
        <w:t xml:space="preserve"> permanently </w:t>
      </w:r>
      <w:r>
        <w:t xml:space="preserve">be </w:t>
      </w:r>
      <w:r w:rsidRPr="00E33CB4">
        <w:t>sequestered by capillary imbibition</w:t>
      </w:r>
      <w:r>
        <w:t xml:space="preserve"> and this aspect is more important than buoyancy except when the separation distance is small and the permeability high (Birdsell et al., 2015).</w:t>
      </w:r>
    </w:p>
    <w:p w14:paraId="2A2697E3" w14:textId="77777777" w:rsidR="00B84334" w:rsidRDefault="00B84334" w:rsidP="00B53927"/>
    <w:p w14:paraId="302AAF2E" w14:textId="43D82099" w:rsidR="00B53927" w:rsidRDefault="00B53927" w:rsidP="00B53927">
      <w:r>
        <w:t xml:space="preserve">Llewellyn et al. (2015) investigated the contamination of drinking water wells with natural gas and foam. </w:t>
      </w:r>
      <w:r w:rsidRPr="004F3F62">
        <w:t>The</w:t>
      </w:r>
      <w:r>
        <w:t xml:space="preserve">y found that the contamination was </w:t>
      </w:r>
      <w:r w:rsidRPr="004F3F62">
        <w:t xml:space="preserve">most likely </w:t>
      </w:r>
      <w:r>
        <w:t>due to migration of</w:t>
      </w:r>
      <w:r w:rsidRPr="004F3F62">
        <w:t xml:space="preserve"> stray</w:t>
      </w:r>
      <w:r>
        <w:t xml:space="preserve"> </w:t>
      </w:r>
      <w:r w:rsidRPr="004F3F62">
        <w:t xml:space="preserve">natural gas </w:t>
      </w:r>
      <w:r>
        <w:t xml:space="preserve">together with </w:t>
      </w:r>
      <w:r w:rsidRPr="004F3F62">
        <w:t xml:space="preserve">drilling or </w:t>
      </w:r>
      <w:r>
        <w:t xml:space="preserve">hydraulic fracturing fluid over 1 to 3 km along </w:t>
      </w:r>
      <w:r w:rsidRPr="004F3F62">
        <w:t>shallow to intermediate depth fractures</w:t>
      </w:r>
      <w:r>
        <w:t>, although part of the contamination could have been due to waste water leakage from a pit at the site of a gas well where hydraulic fracturing had been carried out.</w:t>
      </w:r>
    </w:p>
    <w:p w14:paraId="708F3F91" w14:textId="4A3BAB03" w:rsidR="00B53927" w:rsidRDefault="00B53927" w:rsidP="00B53927">
      <w:r>
        <w:t xml:space="preserve">Hydraulic fracturing of tight shales is unlikely to create groundwater contamination from hydraulic fracturing fluids or brines (Flewelling &amp; Sharma, 2014). </w:t>
      </w:r>
      <w:r w:rsidR="00482125">
        <w:t>According to Fisher &amp; Warpinski (2011), t</w:t>
      </w:r>
      <w:r>
        <w:t>he fractures are more likely to grow laterally than vertically. Investigations at a shale gas operation in Greene County, Pennsylvania (USA) showed no evidence of induced fractures leading to the top of the Marcellus shale or gas contamination in more shallow formations (Hammack et al., 2014).</w:t>
      </w:r>
    </w:p>
    <w:p w14:paraId="42867EEF" w14:textId="77777777" w:rsidR="00B53927" w:rsidRDefault="00B53927" w:rsidP="00B53927"/>
    <w:p w14:paraId="3CC067F9" w14:textId="77777777" w:rsidR="00B53927" w:rsidRDefault="00B53927" w:rsidP="00B53927"/>
    <w:p w14:paraId="3C618A6F" w14:textId="0DFC0AA6" w:rsidR="00B53927" w:rsidRDefault="00B53927" w:rsidP="00B53927">
      <w:r>
        <w:t xml:space="preserve">The in-situ gasification (or burning) of coal (coal gasification) can make coal seams economically exploitable and </w:t>
      </w:r>
      <w:r w:rsidR="00482125">
        <w:t xml:space="preserve">is supposed to </w:t>
      </w:r>
      <w:r>
        <w:t>ha</w:t>
      </w:r>
      <w:r w:rsidR="00482125">
        <w:t>ve</w:t>
      </w:r>
      <w:r>
        <w:t xml:space="preserve"> environmental advantages over mining the coal and using it above ground (Blinderman &amp; Jones, 2002; Friedmann et al., 2009). Gasification in the burn chamber can form contaminants in the subsurface. Collapse of the burn chamber can produce fractures around it and increase the hydraulic </w:t>
      </w:r>
      <w:r w:rsidR="00BF2DCB">
        <w:t xml:space="preserve">conductivity </w:t>
      </w:r>
      <w:r>
        <w:t xml:space="preserve">around the collapse structure by fracturing. Heat from the process can induce convection and potentially upward flow, the effects of which can be increased by the pressure in the burn chamber (Burton et al., 2007). The pressure can be kept below the hydrostatic pressure in order to prevent the outwards spreading of these contaminants. </w:t>
      </w:r>
      <w:r w:rsidR="00482125">
        <w:t>This may lead to groundwater depletion</w:t>
      </w:r>
      <w:r>
        <w:t xml:space="preserve"> (Perkins, 2018). Bhutto et al. (2013) report extensive groundwater contamination and state that therefor</w:t>
      </w:r>
      <w:r w:rsidR="00E71C17">
        <w:t>e</w:t>
      </w:r>
      <w:r>
        <w:t xml:space="preserve"> regular monitoring of the groundwater near the underground coal gasification site is necessary.</w:t>
      </w:r>
    </w:p>
    <w:p w14:paraId="0508890A" w14:textId="46899C0E" w:rsidR="00B53927" w:rsidRDefault="00B53927" w:rsidP="00B53927">
      <w:r>
        <w:t>It has been suggested to combine underground coal gasification with subsurface CO</w:t>
      </w:r>
      <w:r w:rsidRPr="00192693">
        <w:rPr>
          <w:vertAlign w:val="subscript"/>
        </w:rPr>
        <w:t>2</w:t>
      </w:r>
      <w:r>
        <w:t xml:space="preserve"> storage (Self et al., 2012, Rosen et al., 2018)</w:t>
      </w:r>
      <w:r w:rsidR="00482125">
        <w:t>, which would increase pressures again</w:t>
      </w:r>
      <w:r>
        <w:t>.</w:t>
      </w:r>
    </w:p>
    <w:p w14:paraId="337DE767" w14:textId="77777777" w:rsidR="00B53927" w:rsidRDefault="00B53927" w:rsidP="00B53927"/>
    <w:p w14:paraId="0DE97705" w14:textId="71A8CFBF" w:rsidR="00BE4515" w:rsidRDefault="00BE4515" w:rsidP="00BE4515">
      <w:pPr>
        <w:pStyle w:val="Overskrift2"/>
      </w:pPr>
      <w:bookmarkStart w:id="27" w:name="_Toc14425375"/>
      <w:r>
        <w:t>Injection activities</w:t>
      </w:r>
      <w:bookmarkEnd w:id="27"/>
    </w:p>
    <w:p w14:paraId="3C3C8B2F" w14:textId="3418F053" w:rsidR="00A43BAD" w:rsidRDefault="00A43BAD" w:rsidP="008C3B48">
      <w:r>
        <w:t>Ener</w:t>
      </w:r>
      <w:r w:rsidR="00B9071F">
        <w:t>gy-related</w:t>
      </w:r>
      <w:r>
        <w:t xml:space="preserve"> injection activities include subsurface CO</w:t>
      </w:r>
      <w:r w:rsidRPr="00A43BAD">
        <w:rPr>
          <w:vertAlign w:val="subscript"/>
        </w:rPr>
        <w:t>2</w:t>
      </w:r>
      <w:r>
        <w:t xml:space="preserve"> disposal and underground gas storage. </w:t>
      </w:r>
      <w:r w:rsidR="00482125">
        <w:t xml:space="preserve">The former leads to a permanent increase in pressure. </w:t>
      </w:r>
      <w:r>
        <w:t>The latter has</w:t>
      </w:r>
      <w:r w:rsidR="00482125">
        <w:t xml:space="preserve"> a variable pressure as</w:t>
      </w:r>
      <w:r w:rsidR="00976E66">
        <w:t xml:space="preserve"> it alternates in time between injection and extraction for the</w:t>
      </w:r>
      <w:r>
        <w:t xml:space="preserve"> purpose of buffering </w:t>
      </w:r>
      <w:r w:rsidR="00976E66">
        <w:t>gas</w:t>
      </w:r>
      <w:r w:rsidR="006A1A10">
        <w:t xml:space="preserve"> </w:t>
      </w:r>
      <w:r>
        <w:t>demand</w:t>
      </w:r>
      <w:r w:rsidR="00976E66">
        <w:t xml:space="preserve"> such that the extraction from the gas reservoir can be performed at a more constant level</w:t>
      </w:r>
      <w:r>
        <w:t xml:space="preserve">. </w:t>
      </w:r>
      <w:r w:rsidR="00976E66">
        <w:t xml:space="preserve">Enhanced oil recovery also consists of injection of fluid or gas. </w:t>
      </w:r>
      <w:r>
        <w:t>Geothermal operations usually reinject the extracted water, which leads to local increase of pressure</w:t>
      </w:r>
      <w:r w:rsidR="004214BB">
        <w:t xml:space="preserve"> but this is compensated by the extraction so pressure change</w:t>
      </w:r>
      <w:r w:rsidR="006A1A10">
        <w:t>s</w:t>
      </w:r>
      <w:r w:rsidR="004214BB">
        <w:t xml:space="preserve"> </w:t>
      </w:r>
      <w:r w:rsidR="006A1A10">
        <w:t xml:space="preserve">in the subsurface </w:t>
      </w:r>
      <w:r w:rsidR="00976E66">
        <w:t>are</w:t>
      </w:r>
      <w:r w:rsidR="006A1A10">
        <w:t xml:space="preserve"> localised</w:t>
      </w:r>
      <w:r w:rsidR="004214BB">
        <w:t>. Hydraulic fracturing increases pressures for a limited time to create permeability for exploitation of e.g. shale gas.</w:t>
      </w:r>
    </w:p>
    <w:p w14:paraId="17ECEB0C" w14:textId="77777777" w:rsidR="004214BB" w:rsidRDefault="004214BB" w:rsidP="008C3B48"/>
    <w:p w14:paraId="50D1A5E8" w14:textId="755BCCAC" w:rsidR="00D66F7D" w:rsidRDefault="00D66F7D" w:rsidP="008C3B48">
      <w:r>
        <w:t>G</w:t>
      </w:r>
      <w:r w:rsidRPr="00D66F7D">
        <w:t xml:space="preserve">as storage in </w:t>
      </w:r>
      <w:r w:rsidR="006A1A10">
        <w:t>u</w:t>
      </w:r>
      <w:r w:rsidRPr="00D66F7D">
        <w:t xml:space="preserve">nderground </w:t>
      </w:r>
      <w:r w:rsidR="006A1A10">
        <w:t>r</w:t>
      </w:r>
      <w:r w:rsidRPr="00D66F7D">
        <w:t>eservoirs</w:t>
      </w:r>
      <w:r>
        <w:t xml:space="preserve"> may cause </w:t>
      </w:r>
      <w:r w:rsidR="00976E66">
        <w:t>movement of the subsurface</w:t>
      </w:r>
      <w:r w:rsidRPr="00D66F7D">
        <w:t xml:space="preserve"> </w:t>
      </w:r>
      <w:r>
        <w:t xml:space="preserve">(Teatini et al., 2019), which </w:t>
      </w:r>
      <w:r w:rsidR="009811C0">
        <w:t xml:space="preserve">is </w:t>
      </w:r>
      <w:r>
        <w:t xml:space="preserve">not directly a </w:t>
      </w:r>
      <w:r w:rsidRPr="00D66F7D">
        <w:t xml:space="preserve">risk </w:t>
      </w:r>
      <w:r>
        <w:t>for groundwater resources</w:t>
      </w:r>
      <w:r w:rsidR="00976E66">
        <w:t>. H</w:t>
      </w:r>
      <w:r w:rsidR="006A1A10">
        <w:t>owever, this may lead to</w:t>
      </w:r>
      <w:r>
        <w:t xml:space="preserve"> the creation of preferential pathways by </w:t>
      </w:r>
      <w:r w:rsidRPr="00D66F7D">
        <w:t xml:space="preserve">associated </w:t>
      </w:r>
      <w:r>
        <w:t>fault activation</w:t>
      </w:r>
      <w:r w:rsidR="006A1A10">
        <w:t xml:space="preserve"> or fracturing in the subsurface</w:t>
      </w:r>
      <w:r>
        <w:t>.</w:t>
      </w:r>
      <w:r w:rsidRPr="00D66F7D">
        <w:t xml:space="preserve"> </w:t>
      </w:r>
      <w:r w:rsidR="006F6083">
        <w:t>The propagation of pressure changes may induce seismicity</w:t>
      </w:r>
      <w:r w:rsidR="003C4E89">
        <w:t>,</w:t>
      </w:r>
      <w:r w:rsidR="006F6083">
        <w:t xml:space="preserve"> which in turn could increase fractures leading to increased permeability (Ortiz et al., 2019).</w:t>
      </w:r>
      <w:r w:rsidR="009649FE">
        <w:t xml:space="preserve"> Zang et al. (2014) </w:t>
      </w:r>
      <w:r w:rsidR="006A1A10">
        <w:t xml:space="preserve">provide </w:t>
      </w:r>
      <w:r w:rsidR="009649FE">
        <w:t>an overview of induced seismicity in geothermal reservoirs</w:t>
      </w:r>
      <w:r w:rsidR="006A1A10">
        <w:t xml:space="preserve">, however, </w:t>
      </w:r>
      <w:r w:rsidR="00465A90">
        <w:t xml:space="preserve">risks </w:t>
      </w:r>
      <w:r w:rsidR="006A1A10">
        <w:t xml:space="preserve">to </w:t>
      </w:r>
      <w:r w:rsidR="00465A90">
        <w:t xml:space="preserve">groundwater resources from geothermal operations are </w:t>
      </w:r>
      <w:r w:rsidR="006A1A10">
        <w:t xml:space="preserve">rarely addressed </w:t>
      </w:r>
      <w:r w:rsidR="00465A90">
        <w:t>(e.g. Huenges et al., 2006).</w:t>
      </w:r>
    </w:p>
    <w:p w14:paraId="451F8529" w14:textId="65444923" w:rsidR="00F551B6" w:rsidRDefault="00F551B6" w:rsidP="008C3B48"/>
    <w:p w14:paraId="6254CED3" w14:textId="1D597CA8" w:rsidR="006C203B" w:rsidRDefault="00C35996" w:rsidP="00DF71EE">
      <w:r>
        <w:t xml:space="preserve">Koornneef et al. (2011) evaluated the environmental consequences of </w:t>
      </w:r>
      <w:r w:rsidR="00CB12D7">
        <w:t>carbon dioxide</w:t>
      </w:r>
      <w:r>
        <w:t xml:space="preserve"> capture, transport in pipelines, and subsurface storage. They found the main </w:t>
      </w:r>
      <w:r w:rsidR="00B923F2">
        <w:t xml:space="preserve">knowledge </w:t>
      </w:r>
      <w:r>
        <w:t xml:space="preserve">gaps </w:t>
      </w:r>
      <w:r w:rsidR="00B923F2">
        <w:t>are related to</w:t>
      </w:r>
      <w:r>
        <w:t xml:space="preserve"> subsurface storage. </w:t>
      </w:r>
      <w:r w:rsidR="006C203B">
        <w:t>Rinaldi et al. (2014) evaluate the</w:t>
      </w:r>
      <w:r w:rsidR="006C203B" w:rsidRPr="00192693">
        <w:t xml:space="preserve"> short-term integrity of the sealing cap</w:t>
      </w:r>
      <w:r w:rsidR="00465A89">
        <w:t xml:space="preserve"> </w:t>
      </w:r>
      <w:r w:rsidR="006C203B" w:rsidRPr="00192693">
        <w:t>rock</w:t>
      </w:r>
      <w:r w:rsidR="006C203B">
        <w:t xml:space="preserve"> related to faults for CO</w:t>
      </w:r>
      <w:r w:rsidR="006C203B" w:rsidRPr="006C203B">
        <w:rPr>
          <w:vertAlign w:val="subscript"/>
        </w:rPr>
        <w:t>2</w:t>
      </w:r>
      <w:r w:rsidR="006C203B">
        <w:t xml:space="preserve"> storage</w:t>
      </w:r>
      <w:r w:rsidR="00B923F2">
        <w:t xml:space="preserve"> and the</w:t>
      </w:r>
      <w:r w:rsidR="006C203B" w:rsidRPr="00192693">
        <w:t xml:space="preserve"> </w:t>
      </w:r>
      <w:r w:rsidR="00B923F2">
        <w:t>lik</w:t>
      </w:r>
      <w:r w:rsidR="00976E66">
        <w:t>e</w:t>
      </w:r>
      <w:r w:rsidR="00B923F2">
        <w:t>lihood</w:t>
      </w:r>
      <w:r w:rsidR="00B923F2" w:rsidRPr="00192693">
        <w:t xml:space="preserve"> </w:t>
      </w:r>
      <w:r w:rsidR="006C203B" w:rsidRPr="00192693">
        <w:t>of either brine or CO</w:t>
      </w:r>
      <w:r w:rsidR="006C203B" w:rsidRPr="006C203B">
        <w:rPr>
          <w:vertAlign w:val="subscript"/>
        </w:rPr>
        <w:t>2</w:t>
      </w:r>
      <w:r w:rsidR="006C203B" w:rsidRPr="00192693">
        <w:t xml:space="preserve"> reach</w:t>
      </w:r>
      <w:r w:rsidR="00B923F2">
        <w:t>ing</w:t>
      </w:r>
      <w:r w:rsidR="006C203B" w:rsidRPr="00192693">
        <w:t xml:space="preserve"> the groundwater during active injection.</w:t>
      </w:r>
      <w:r w:rsidR="00DF71EE">
        <w:t xml:space="preserve"> Rutqvist et al. (2016) recommend </w:t>
      </w:r>
      <w:r>
        <w:t>sit</w:t>
      </w:r>
      <w:r w:rsidR="00B923F2">
        <w:t>ing</w:t>
      </w:r>
      <w:r>
        <w:t xml:space="preserve"> CO</w:t>
      </w:r>
      <w:r w:rsidRPr="00DF71EE">
        <w:rPr>
          <w:vertAlign w:val="subscript"/>
        </w:rPr>
        <w:t>2</w:t>
      </w:r>
      <w:r>
        <w:t xml:space="preserve"> storage </w:t>
      </w:r>
      <w:r w:rsidR="00DF71EE">
        <w:t>a</w:t>
      </w:r>
      <w:r>
        <w:t>way from</w:t>
      </w:r>
      <w:r w:rsidR="00DF71EE" w:rsidRPr="00DF71EE">
        <w:t xml:space="preserve"> crystalline</w:t>
      </w:r>
      <w:r w:rsidR="00DF71EE">
        <w:t xml:space="preserve"> </w:t>
      </w:r>
      <w:r w:rsidR="00DF71EE" w:rsidRPr="00DF71EE">
        <w:t xml:space="preserve">basement </w:t>
      </w:r>
      <w:r w:rsidR="00DF71EE">
        <w:t>and</w:t>
      </w:r>
      <w:r w:rsidR="00DF71EE" w:rsidRPr="00DF71EE">
        <w:t xml:space="preserve"> brittle sedimentary </w:t>
      </w:r>
      <w:r w:rsidR="00DF71EE">
        <w:t>rock</w:t>
      </w:r>
      <w:r w:rsidR="00B923F2">
        <w:t>s</w:t>
      </w:r>
      <w:r w:rsidR="00DF71EE">
        <w:t xml:space="preserve"> to avoid leakage along faults. Nicol et al. (2017) address the permeability of faults for CO</w:t>
      </w:r>
      <w:r w:rsidR="00DF71EE" w:rsidRPr="00DF71EE">
        <w:rPr>
          <w:vertAlign w:val="subscript"/>
        </w:rPr>
        <w:t>2</w:t>
      </w:r>
      <w:r w:rsidR="00DF71EE">
        <w:t>.</w:t>
      </w:r>
      <w:r w:rsidR="006465AB">
        <w:t xml:space="preserve"> They report a large range of fault permeabilities and conclude that the understanding of fault hydraulic properties needs to be improved for the inclusion of faults in risk assessment.</w:t>
      </w:r>
    </w:p>
    <w:p w14:paraId="3194E943" w14:textId="77777777" w:rsidR="008A12C8" w:rsidRDefault="008A12C8" w:rsidP="00EE371F"/>
    <w:p w14:paraId="4553CA05" w14:textId="702124BB" w:rsidR="003B3BA3" w:rsidRDefault="00BE4515" w:rsidP="00BE4515">
      <w:pPr>
        <w:pStyle w:val="Overskrift2"/>
      </w:pPr>
      <w:bookmarkStart w:id="28" w:name="_Toc14425376"/>
      <w:r>
        <w:t>Pressure neutral activities</w:t>
      </w:r>
      <w:bookmarkEnd w:id="28"/>
    </w:p>
    <w:p w14:paraId="428B0575" w14:textId="7B5F1585" w:rsidR="008B378F" w:rsidRDefault="008B378F" w:rsidP="008B378F">
      <w:r w:rsidRPr="008B378F">
        <w:t>Geothermal operations usually combine extraction of hot water and reinjection of the water at a similar depth so that there is no net extraction or injection and no pressure change at some distance. Geothermal energy gets much attention in the transition to sustainable energy production.</w:t>
      </w:r>
      <w:r>
        <w:t xml:space="preserve"> The </w:t>
      </w:r>
      <w:r w:rsidR="00493768">
        <w:t xml:space="preserve">Geothermic sector has not yet matured and needs to improve safety practice and awareness of risks (SODM, 2017). Because of the lower economic value of the heat compared to </w:t>
      </w:r>
      <w:r w:rsidR="00FC5553">
        <w:t>oil or gas, there is a tendency to use less durable well material and single walled construction instead of the dual wall wells common for oil and gas (SODM, 2017</w:t>
      </w:r>
      <w:r w:rsidR="00E9780C">
        <w:t xml:space="preserve">; 2019). In the installation phase fracking may be used to increase permeability, albeit on a smaller scale than for shale gas. The high temperature of the well may cause </w:t>
      </w:r>
      <w:r w:rsidR="007E26A9">
        <w:t>convection in the (shallower) subsurface that can salinize fresh groundwater overlying brackish or saline groundwater (van Lopik, 2015).</w:t>
      </w:r>
    </w:p>
    <w:p w14:paraId="38039DC9" w14:textId="471FD551" w:rsidR="00505F1A" w:rsidRDefault="00505F1A" w:rsidP="008B378F">
      <w:r>
        <w:t>There are geothermal systems using abandoned mines instead of wells (Kallesøe &amp; Vangkilde-Pedersen, 2019).</w:t>
      </w:r>
    </w:p>
    <w:p w14:paraId="2B476A41" w14:textId="77777777" w:rsidR="000576AB" w:rsidRDefault="000576AB" w:rsidP="008B378F"/>
    <w:p w14:paraId="7E9A456E" w14:textId="033986BB" w:rsidR="00E5194C" w:rsidRPr="00E5194C" w:rsidRDefault="00FE1681" w:rsidP="00FE1681">
      <w:pPr>
        <w:pStyle w:val="Overskrift2"/>
      </w:pPr>
      <w:bookmarkStart w:id="29" w:name="_Toc14425377"/>
      <w:r>
        <w:t>Summary</w:t>
      </w:r>
      <w:r w:rsidR="00E5194C" w:rsidRPr="00E5194C">
        <w:t xml:space="preserve"> of pathways</w:t>
      </w:r>
      <w:bookmarkEnd w:id="29"/>
    </w:p>
    <w:p w14:paraId="72EAD06B" w14:textId="77777777" w:rsidR="00E5194C" w:rsidRPr="00E5194C" w:rsidRDefault="00E5194C" w:rsidP="00E5194C">
      <w:r w:rsidRPr="00E5194C">
        <w:t xml:space="preserve">Pathways in reducing likeliness: </w:t>
      </w:r>
    </w:p>
    <w:p w14:paraId="354A9F4B" w14:textId="77777777" w:rsidR="00E5194C" w:rsidRPr="00E5194C" w:rsidRDefault="00E5194C" w:rsidP="00E5194C">
      <w:r w:rsidRPr="00E5194C">
        <w:t>-</w:t>
      </w:r>
      <w:r w:rsidRPr="00E5194C">
        <w:tab/>
        <w:t>Surface contamination during installation;</w:t>
      </w:r>
    </w:p>
    <w:p w14:paraId="0ACDD4FE" w14:textId="77777777" w:rsidR="00E5194C" w:rsidRPr="00E5194C" w:rsidRDefault="00E5194C" w:rsidP="00E5194C">
      <w:r w:rsidRPr="00E5194C">
        <w:t>-</w:t>
      </w:r>
      <w:r w:rsidRPr="00E5194C">
        <w:tab/>
        <w:t>Failing subsurface infrastructure;</w:t>
      </w:r>
    </w:p>
    <w:p w14:paraId="1570D876" w14:textId="77777777" w:rsidR="00E5194C" w:rsidRPr="00E5194C" w:rsidRDefault="00E5194C" w:rsidP="00E5194C">
      <w:r w:rsidRPr="00E5194C">
        <w:t>-</w:t>
      </w:r>
      <w:r w:rsidRPr="00E5194C">
        <w:tab/>
        <w:t>Natural faults;</w:t>
      </w:r>
    </w:p>
    <w:p w14:paraId="252CE596" w14:textId="77777777" w:rsidR="00E5194C" w:rsidRPr="00E5194C" w:rsidRDefault="00E5194C" w:rsidP="00E5194C">
      <w:r w:rsidRPr="00E5194C">
        <w:t>-</w:t>
      </w:r>
      <w:r w:rsidRPr="00E5194C">
        <w:tab/>
        <w:t>Fractures;</w:t>
      </w:r>
    </w:p>
    <w:p w14:paraId="4670603E" w14:textId="77777777" w:rsidR="00E5194C" w:rsidRPr="00E5194C" w:rsidRDefault="00E5194C" w:rsidP="00E5194C">
      <w:r w:rsidRPr="00E5194C">
        <w:t>-</w:t>
      </w:r>
      <w:r w:rsidRPr="00E5194C">
        <w:tab/>
        <w:t>Matrix flow.</w:t>
      </w:r>
    </w:p>
    <w:p w14:paraId="162E7270" w14:textId="3C478880" w:rsidR="00351E10" w:rsidRDefault="00E5194C" w:rsidP="003B3BA3">
      <w:r w:rsidRPr="00E5194C">
        <w:t>The importance of the pathways is larger for energy-related activities, which increase the pressure in the subsurface.</w:t>
      </w:r>
    </w:p>
    <w:p w14:paraId="4ADEF1FE" w14:textId="77777777" w:rsidR="003B3BA3" w:rsidRPr="003B3BA3" w:rsidRDefault="003B3BA3" w:rsidP="003B3BA3"/>
    <w:p w14:paraId="4654C038" w14:textId="77777777" w:rsidR="003E3FB2" w:rsidRPr="006F1EEC" w:rsidRDefault="003E3FB2" w:rsidP="003E3FB2">
      <w:pPr>
        <w:pStyle w:val="Overskrift1"/>
      </w:pPr>
      <w:bookmarkStart w:id="30" w:name="_Toc527472387"/>
      <w:bookmarkStart w:id="31" w:name="_Ref535574929"/>
      <w:bookmarkStart w:id="32" w:name="_Toc14425378"/>
      <w:r w:rsidRPr="006F1EEC">
        <w:t>Pilot Pannonian Basin</w:t>
      </w:r>
      <w:bookmarkEnd w:id="30"/>
      <w:bookmarkEnd w:id="31"/>
      <w:bookmarkEnd w:id="32"/>
    </w:p>
    <w:p w14:paraId="3C5F0860" w14:textId="0658A5A4" w:rsidR="003E3FB2" w:rsidRPr="006F1EEC" w:rsidRDefault="003E3FB2" w:rsidP="003E3FB2"/>
    <w:p w14:paraId="21C210EE" w14:textId="77777777" w:rsidR="00AC20DC" w:rsidRPr="006F1EEC" w:rsidRDefault="00AC20DC" w:rsidP="00186468">
      <w:pPr>
        <w:pStyle w:val="Overskrift2"/>
      </w:pPr>
      <w:bookmarkStart w:id="33" w:name="_Toc14425379"/>
      <w:r w:rsidRPr="006F1EEC">
        <w:t>Introduction of the pilot</w:t>
      </w:r>
      <w:bookmarkEnd w:id="33"/>
    </w:p>
    <w:p w14:paraId="2D104EE8" w14:textId="35126EA5" w:rsidR="00AC20DC" w:rsidRPr="006F1EEC" w:rsidRDefault="00AC20DC" w:rsidP="00AC20DC">
      <w:pPr>
        <w:autoSpaceDE w:val="0"/>
        <w:autoSpaceDN w:val="0"/>
        <w:adjustRightInd w:val="0"/>
      </w:pPr>
      <w:r w:rsidRPr="006F1EEC">
        <w:t>The pilot area is situated in the Little Hungarian Plain</w:t>
      </w:r>
      <w:r w:rsidR="00DF39A3">
        <w:t>, which</w:t>
      </w:r>
      <w:r w:rsidRPr="006F1EEC">
        <w:t xml:space="preserve"> lies between the Eastern Alps and the Transdanubian Range as the western part of the Pannonian Basin. The studied territory is mainly a lowland area of the Kisalföld Basin surrounded by the Eastern Alps in the west and the Transdanubian Range in the east</w:t>
      </w:r>
      <w:r w:rsidR="00E727BC" w:rsidRPr="006F1EEC">
        <w:t xml:space="preserve"> (</w:t>
      </w:r>
      <w:r w:rsidR="00E727BC" w:rsidRPr="006F1EEC">
        <w:fldChar w:fldCharType="begin"/>
      </w:r>
      <w:r w:rsidR="00E727BC" w:rsidRPr="006F1EEC">
        <w:instrText xml:space="preserve"> REF _Ref897128 \h </w:instrText>
      </w:r>
      <w:r w:rsidR="00E727BC" w:rsidRPr="006F1EEC">
        <w:fldChar w:fldCharType="separate"/>
      </w:r>
      <w:r w:rsidR="00734A2A" w:rsidRPr="006F1EEC">
        <w:t xml:space="preserve">Figure </w:t>
      </w:r>
      <w:r w:rsidR="00734A2A">
        <w:rPr>
          <w:noProof/>
        </w:rPr>
        <w:t>1</w:t>
      </w:r>
      <w:r w:rsidR="00E727BC" w:rsidRPr="006F1EEC">
        <w:fldChar w:fldCharType="end"/>
      </w:r>
      <w:r w:rsidR="00E727BC" w:rsidRPr="006F1EEC">
        <w:t>)</w:t>
      </w:r>
      <w:r w:rsidRPr="006F1EEC">
        <w:t xml:space="preserve">. </w:t>
      </w:r>
    </w:p>
    <w:p w14:paraId="58D6459A" w14:textId="77777777" w:rsidR="00E727BC" w:rsidRPr="006F1EEC" w:rsidRDefault="00AC20DC" w:rsidP="00E727BC">
      <w:pPr>
        <w:keepNext/>
        <w:jc w:val="center"/>
      </w:pPr>
      <w:r w:rsidRPr="006F1EEC">
        <w:rPr>
          <w:noProof/>
          <w:lang w:eastAsia="en-GB"/>
        </w:rPr>
        <w:drawing>
          <wp:inline distT="0" distB="0" distL="0" distR="0" wp14:anchorId="62516CE6" wp14:editId="68CB914A">
            <wp:extent cx="3181350" cy="2254136"/>
            <wp:effectExtent l="0" t="0" r="0" b="0"/>
            <wp:docPr id="1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tion.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182310" cy="2254816"/>
                    </a:xfrm>
                    <a:prstGeom prst="rect">
                      <a:avLst/>
                    </a:prstGeom>
                  </pic:spPr>
                </pic:pic>
              </a:graphicData>
            </a:graphic>
          </wp:inline>
        </w:drawing>
      </w:r>
    </w:p>
    <w:p w14:paraId="65AFE8F4" w14:textId="4D9FD737" w:rsidR="00AC20DC" w:rsidRPr="006F1EEC" w:rsidRDefault="00E727BC" w:rsidP="00E727BC">
      <w:pPr>
        <w:pStyle w:val="Billedtekst"/>
        <w:jc w:val="center"/>
      </w:pPr>
      <w:bookmarkStart w:id="34" w:name="_Ref897128"/>
      <w:r w:rsidRPr="006F1EEC">
        <w:t xml:space="preserve">Figure </w:t>
      </w:r>
      <w:r w:rsidRPr="006F1EEC">
        <w:fldChar w:fldCharType="begin"/>
      </w:r>
      <w:r w:rsidRPr="006F1EEC">
        <w:instrText xml:space="preserve"> SEQ Figure \* ARABIC </w:instrText>
      </w:r>
      <w:r w:rsidRPr="006F1EEC">
        <w:fldChar w:fldCharType="separate"/>
      </w:r>
      <w:r w:rsidR="00734A2A">
        <w:rPr>
          <w:noProof/>
        </w:rPr>
        <w:t>1</w:t>
      </w:r>
      <w:r w:rsidRPr="006F1EEC">
        <w:fldChar w:fldCharType="end"/>
      </w:r>
      <w:bookmarkEnd w:id="34"/>
      <w:r w:rsidRPr="006F1EEC">
        <w:t xml:space="preserve"> Location of the pilot area in the Pannonian Basin</w:t>
      </w:r>
    </w:p>
    <w:p w14:paraId="235B7A82" w14:textId="7C8BC2CA" w:rsidR="00AC20DC" w:rsidRPr="006F1EEC" w:rsidRDefault="00AC20DC" w:rsidP="00AC20DC">
      <w:r w:rsidRPr="006F1EEC">
        <w:rPr>
          <w:szCs w:val="24"/>
        </w:rPr>
        <w:t xml:space="preserve">The basement formations consist mainly of metamorphosed crystalline rocks of the </w:t>
      </w:r>
      <w:r w:rsidRPr="006F1EEC">
        <w:t xml:space="preserve">Lower to Upper Austroalpine nappe units. </w:t>
      </w:r>
      <w:r w:rsidR="00DF39A3">
        <w:rPr>
          <w:szCs w:val="24"/>
        </w:rPr>
        <w:t xml:space="preserve">The structure is </w:t>
      </w:r>
      <w:r w:rsidR="00DF39A3" w:rsidRPr="006F1EEC">
        <w:t>characteris</w:t>
      </w:r>
      <w:r w:rsidR="00DF39A3">
        <w:t>ed by</w:t>
      </w:r>
      <w:r w:rsidRPr="006F1EEC">
        <w:t xml:space="preserve"> nappes, thrust sheets, strike slip structures and normal fault systems. The deep sedimentary basin is divided by basement highs forming different sub-basins (</w:t>
      </w:r>
      <w:r w:rsidR="00E727BC" w:rsidRPr="006F1EEC">
        <w:fldChar w:fldCharType="begin"/>
      </w:r>
      <w:r w:rsidR="00E727BC" w:rsidRPr="006F1EEC">
        <w:instrText xml:space="preserve"> REF _Ref897189 \h </w:instrText>
      </w:r>
      <w:r w:rsidR="00E727BC" w:rsidRPr="006F1EEC">
        <w:fldChar w:fldCharType="separate"/>
      </w:r>
      <w:r w:rsidR="00734A2A" w:rsidRPr="006F1EEC">
        <w:t xml:space="preserve">Figure </w:t>
      </w:r>
      <w:r w:rsidR="00734A2A">
        <w:rPr>
          <w:noProof/>
        </w:rPr>
        <w:t>2</w:t>
      </w:r>
      <w:r w:rsidR="00E727BC" w:rsidRPr="006F1EEC">
        <w:fldChar w:fldCharType="end"/>
      </w:r>
      <w:r w:rsidRPr="006F1EEC">
        <w:t xml:space="preserve">). </w:t>
      </w:r>
    </w:p>
    <w:p w14:paraId="077789FF" w14:textId="267958C8" w:rsidR="00AC20DC" w:rsidRPr="006F1EEC" w:rsidRDefault="00AC20DC" w:rsidP="00AC20DC">
      <w:pPr>
        <w:autoSpaceDE w:val="0"/>
        <w:autoSpaceDN w:val="0"/>
        <w:adjustRightInd w:val="0"/>
      </w:pPr>
      <w:r w:rsidRPr="006F1EEC">
        <w:t xml:space="preserve">The basin fill consists of Neogene sediments. Sedimentation </w:t>
      </w:r>
      <w:r w:rsidR="00DF39A3">
        <w:t>began</w:t>
      </w:r>
      <w:r w:rsidRPr="006F1EEC">
        <w:t xml:space="preserve"> during the Karpatian with terrestrial deposits, while deep and shallow marine sediment layers were formed in the Middle Miocene with thickness of about 200 m.</w:t>
      </w:r>
    </w:p>
    <w:p w14:paraId="2875C641" w14:textId="77777777" w:rsidR="00E727BC" w:rsidRPr="006F1EEC" w:rsidRDefault="00AC20DC" w:rsidP="00E727BC">
      <w:pPr>
        <w:keepNext/>
      </w:pPr>
      <w:r w:rsidRPr="006F1EEC">
        <w:rPr>
          <w:noProof/>
          <w:lang w:eastAsia="en-GB"/>
        </w:rPr>
        <w:drawing>
          <wp:inline distT="0" distB="0" distL="0" distR="0" wp14:anchorId="6491A6A3" wp14:editId="42B2A47D">
            <wp:extent cx="5943600" cy="2795905"/>
            <wp:effectExtent l="0" t="0" r="0" b="4445"/>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elyfdt_szelveny_Kisalfold_Tary_Horvath_2010_kivag_angol.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2795905"/>
                    </a:xfrm>
                    <a:prstGeom prst="rect">
                      <a:avLst/>
                    </a:prstGeom>
                  </pic:spPr>
                </pic:pic>
              </a:graphicData>
            </a:graphic>
          </wp:inline>
        </w:drawing>
      </w:r>
    </w:p>
    <w:p w14:paraId="6114C8A4" w14:textId="5284BBDC" w:rsidR="00AC20DC" w:rsidRPr="006F1EEC" w:rsidRDefault="00E727BC" w:rsidP="00E727BC">
      <w:pPr>
        <w:pStyle w:val="Billedtekst"/>
      </w:pPr>
      <w:bookmarkStart w:id="35" w:name="_Ref897189"/>
      <w:r w:rsidRPr="006F1EEC">
        <w:t xml:space="preserve">Figure </w:t>
      </w:r>
      <w:r w:rsidRPr="006F1EEC">
        <w:fldChar w:fldCharType="begin"/>
      </w:r>
      <w:r w:rsidRPr="006F1EEC">
        <w:instrText xml:space="preserve"> SEQ Figure \* ARABIC </w:instrText>
      </w:r>
      <w:r w:rsidRPr="006F1EEC">
        <w:fldChar w:fldCharType="separate"/>
      </w:r>
      <w:r w:rsidR="00734A2A">
        <w:rPr>
          <w:noProof/>
        </w:rPr>
        <w:t>2</w:t>
      </w:r>
      <w:r w:rsidRPr="006F1EEC">
        <w:fldChar w:fldCharType="end"/>
      </w:r>
      <w:bookmarkEnd w:id="35"/>
      <w:r w:rsidRPr="006F1EEC">
        <w:t xml:space="preserve"> Deep geological cross-section across the Kisalföld Basin and the Transdanubian Range (Tary and Horvath 2010)</w:t>
      </w:r>
    </w:p>
    <w:p w14:paraId="75623842" w14:textId="6D69D4A8" w:rsidR="00AC20DC" w:rsidRPr="006F1EEC" w:rsidRDefault="00AC20DC" w:rsidP="00AC20DC">
      <w:pPr>
        <w:autoSpaceDE w:val="0"/>
        <w:autoSpaceDN w:val="0"/>
        <w:adjustRightInd w:val="0"/>
      </w:pPr>
      <w:r w:rsidRPr="006F1EEC">
        <w:t>Th</w:t>
      </w:r>
      <w:r w:rsidR="00DF39A3">
        <w:t xml:space="preserve">e </w:t>
      </w:r>
      <w:r w:rsidR="00670F1B">
        <w:t xml:space="preserve">Pannonian </w:t>
      </w:r>
      <w:r w:rsidR="00670F1B" w:rsidRPr="006F1EEC">
        <w:t>basin</w:t>
      </w:r>
      <w:r w:rsidRPr="006F1EEC">
        <w:t xml:space="preserve"> was gradually ﬁlled mostly by forward accretion of sediment packages during the Late Miocene and Early Pliocene, originating in the surrounding uplifting Alpine and Carpathian mountain belts. The resulting siliciclastic sequences can be as thick as several thousand meters in the deepest sub-basins. Its lower part is composed mainly of bathyal shales, marls and calcareous marls, delta</w:t>
      </w:r>
      <w:r w:rsidR="00DF39A3">
        <w:t>-</w:t>
      </w:r>
      <w:r w:rsidRPr="006F1EEC">
        <w:t xml:space="preserve">front siltstones interbedded with delta slope turbidites, and sand-rich delta plain sediments deposited in the brackish Lake Pannon. </w:t>
      </w:r>
    </w:p>
    <w:p w14:paraId="54151F68" w14:textId="43D9C171" w:rsidR="00AC20DC" w:rsidRPr="006F1EEC" w:rsidRDefault="00AC20DC" w:rsidP="00AC20DC">
      <w:pPr>
        <w:autoSpaceDE w:val="0"/>
        <w:autoSpaceDN w:val="0"/>
        <w:adjustRightInd w:val="0"/>
      </w:pPr>
      <w:r w:rsidRPr="006F1EEC">
        <w:t>Within the several thousand meters thick porous Upper Miocene-Pliocene basin</w:t>
      </w:r>
      <w:r w:rsidR="00DF39A3">
        <w:t>-</w:t>
      </w:r>
      <w:r w:rsidRPr="006F1EEC">
        <w:t xml:space="preserve">fill complex the lower delta slope sequences mainly consist of clay, or sandy clay therefore act as regional aquicludes. </w:t>
      </w:r>
      <w:r w:rsidR="00DF39A3">
        <w:t>In contrast,</w:t>
      </w:r>
      <w:r w:rsidRPr="006F1EEC">
        <w:t xml:space="preserve"> the delta front and delta plain sedimentary succession is built up of altering sand and sandy clay layers, large lenses reflecting the former shelf front, shel</w:t>
      </w:r>
      <w:r w:rsidR="00DF39A3">
        <w:t xml:space="preserve">f </w:t>
      </w:r>
      <w:r w:rsidRPr="006F1EEC">
        <w:t xml:space="preserve">and alluvial plain sedimentary environment. These sediments are characterized by a strong anisotropy Kh/Kv often higher than 5000 (Tóth et al., 2016) at a regional scale due to the frequent alternation of the sand, silt and clay layers. Although the permeability of the clayey-marl strata is </w:t>
      </w:r>
      <w:r w:rsidR="00DF39A3">
        <w:t>one to two orders of</w:t>
      </w:r>
      <w:r w:rsidRPr="006F1EEC">
        <w:t xml:space="preserve"> magnitude lower than that of the sandy units, hydraulic connection </w:t>
      </w:r>
      <w:r w:rsidR="00DF39A3">
        <w:t xml:space="preserve">is still possible </w:t>
      </w:r>
      <w:r w:rsidRPr="006F1EEC">
        <w:t xml:space="preserve">between the sand layers, </w:t>
      </w:r>
      <w:r w:rsidR="00670F1B" w:rsidRPr="006F1EEC">
        <w:t>th</w:t>
      </w:r>
      <w:r w:rsidR="00670F1B">
        <w:t xml:space="preserve">erefore </w:t>
      </w:r>
      <w:r w:rsidR="00670F1B" w:rsidRPr="006F1EEC">
        <w:t>the</w:t>
      </w:r>
      <w:r w:rsidRPr="006F1EEC">
        <w:t xml:space="preserve"> entire Upper Pannonian sedimentary succession one hydrostratigraphic unit characterized by an almost uniform hydrostatic pressure. </w:t>
      </w:r>
    </w:p>
    <w:p w14:paraId="4962B41E" w14:textId="05349483" w:rsidR="00AC20DC" w:rsidRPr="006F1EEC" w:rsidRDefault="00AC20DC" w:rsidP="00AC20DC">
      <w:r w:rsidRPr="006F1EEC">
        <w:t xml:space="preserve">The Pannonian delta sediment series are covered by thin (0-200 m) Quaternary layers. These fluvial sediments represent the most important drinking water aquifers of the region. Due to the lack of </w:t>
      </w:r>
      <w:r w:rsidR="00DF39A3">
        <w:t xml:space="preserve">a </w:t>
      </w:r>
      <w:r w:rsidRPr="006F1EEC">
        <w:t>regional aquitard layer</w:t>
      </w:r>
      <w:r w:rsidR="00DF39A3">
        <w:t>,</w:t>
      </w:r>
      <w:r w:rsidRPr="006F1EEC">
        <w:t xml:space="preserve"> </w:t>
      </w:r>
      <w:r w:rsidR="00DF39A3">
        <w:t xml:space="preserve">a </w:t>
      </w:r>
      <w:r w:rsidRPr="006F1EEC">
        <w:t xml:space="preserve">hydraulic connection exists between the Quaternary formations and the Upper Miocene-Pliocene sediment series. </w:t>
      </w:r>
    </w:p>
    <w:p w14:paraId="6AA4CCD8" w14:textId="77777777" w:rsidR="00AC20DC" w:rsidRPr="006F1EEC" w:rsidRDefault="00AC20DC" w:rsidP="00186468">
      <w:pPr>
        <w:pStyle w:val="Overskrift2"/>
      </w:pPr>
      <w:bookmarkStart w:id="36" w:name="_Toc14425380"/>
      <w:r w:rsidRPr="006F1EEC">
        <w:t>Available infrastructure</w:t>
      </w:r>
      <w:bookmarkEnd w:id="36"/>
    </w:p>
    <w:p w14:paraId="4F537487" w14:textId="496918C5" w:rsidR="00AC20DC" w:rsidRPr="006F1EEC" w:rsidRDefault="00AC20DC" w:rsidP="00AC20DC">
      <w:r w:rsidRPr="006F1EEC">
        <w:t xml:space="preserve">Petroleum exploration has a long history in the Kisalföld Basin. The first exploration drilling </w:t>
      </w:r>
      <w:r w:rsidR="00FA270A">
        <w:t>began</w:t>
      </w:r>
      <w:r w:rsidRPr="006F1EEC">
        <w:t xml:space="preserve"> in 1935. Several boreholes were drilled, and geophysical measurements were </w:t>
      </w:r>
      <w:r w:rsidR="00FA270A">
        <w:t>undertaken</w:t>
      </w:r>
      <w:r w:rsidR="00FA270A" w:rsidRPr="006F1EEC">
        <w:t xml:space="preserve"> </w:t>
      </w:r>
      <w:r w:rsidRPr="006F1EEC">
        <w:t xml:space="preserve">resulting borehole logs, seismic sections and gravitational maps. </w:t>
      </w:r>
      <w:r w:rsidR="00FA270A">
        <w:t>I</w:t>
      </w:r>
      <w:r w:rsidRPr="006F1EEC">
        <w:t>mportant hydrocarbon reservoir</w:t>
      </w:r>
      <w:r w:rsidR="00FA270A">
        <w:t>s</w:t>
      </w:r>
      <w:r w:rsidRPr="006F1EEC">
        <w:t xml:space="preserve"> were not discovered, but some</w:t>
      </w:r>
      <w:r w:rsidR="00FA270A">
        <w:t xml:space="preserve"> natural</w:t>
      </w:r>
      <w:r w:rsidRPr="006F1EEC">
        <w:t xml:space="preserve"> CO</w:t>
      </w:r>
      <w:r w:rsidRPr="006F1EEC">
        <w:rPr>
          <w:vertAlign w:val="subscript"/>
        </w:rPr>
        <w:t>2</w:t>
      </w:r>
      <w:r w:rsidRPr="006F1EEC">
        <w:t xml:space="preserve"> gas reservoir</w:t>
      </w:r>
      <w:r w:rsidR="00FA270A">
        <w:t>s</w:t>
      </w:r>
      <w:r w:rsidRPr="006F1EEC">
        <w:t xml:space="preserve"> and </w:t>
      </w:r>
      <w:r w:rsidR="00522604">
        <w:t>gaseous hydrocarbon</w:t>
      </w:r>
      <w:r w:rsidR="00670F1B">
        <w:t>s was identified. A</w:t>
      </w:r>
      <w:r w:rsidRPr="006F1EEC">
        <w:t xml:space="preserve"> </w:t>
      </w:r>
      <w:r w:rsidR="00FA270A">
        <w:t>large</w:t>
      </w:r>
      <w:r w:rsidR="00FA270A" w:rsidRPr="006F1EEC">
        <w:t xml:space="preserve"> </w:t>
      </w:r>
      <w:r w:rsidRPr="006F1EEC">
        <w:t>part of the CO</w:t>
      </w:r>
      <w:r w:rsidRPr="006F1EEC">
        <w:rPr>
          <w:vertAlign w:val="subscript"/>
        </w:rPr>
        <w:t>2</w:t>
      </w:r>
      <w:r w:rsidRPr="006F1EEC">
        <w:t xml:space="preserve"> has a mantle origin (Vető et al. 2014).</w:t>
      </w:r>
    </w:p>
    <w:p w14:paraId="410121D5" w14:textId="77777777" w:rsidR="00E727BC" w:rsidRPr="006F1EEC" w:rsidRDefault="00AC20DC" w:rsidP="00E727BC">
      <w:pPr>
        <w:keepNext/>
        <w:jc w:val="center"/>
      </w:pPr>
      <w:r w:rsidRPr="006F1EEC">
        <w:rPr>
          <w:noProof/>
          <w:lang w:eastAsia="en-GB"/>
        </w:rPr>
        <w:drawing>
          <wp:inline distT="0" distB="0" distL="0" distR="0" wp14:anchorId="5A5D311E" wp14:editId="44322058">
            <wp:extent cx="2990850" cy="2774946"/>
            <wp:effectExtent l="0" t="0" r="0" b="6985"/>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992589" cy="2776560"/>
                    </a:xfrm>
                    <a:prstGeom prst="rect">
                      <a:avLst/>
                    </a:prstGeom>
                  </pic:spPr>
                </pic:pic>
              </a:graphicData>
            </a:graphic>
          </wp:inline>
        </w:drawing>
      </w:r>
    </w:p>
    <w:p w14:paraId="578D5AA8" w14:textId="54C5C434" w:rsidR="00E727BC" w:rsidRPr="006F1EEC" w:rsidRDefault="00E727BC" w:rsidP="007C0849">
      <w:pPr>
        <w:pStyle w:val="Billedtekst"/>
        <w:jc w:val="left"/>
      </w:pPr>
      <w:r w:rsidRPr="006F1EEC">
        <w:t xml:space="preserve">Figure </w:t>
      </w:r>
      <w:r w:rsidRPr="006F1EEC">
        <w:fldChar w:fldCharType="begin"/>
      </w:r>
      <w:r w:rsidRPr="006F1EEC">
        <w:instrText xml:space="preserve"> SEQ Figure \* ARABIC </w:instrText>
      </w:r>
      <w:r w:rsidRPr="006F1EEC">
        <w:fldChar w:fldCharType="separate"/>
      </w:r>
      <w:r w:rsidR="00734A2A">
        <w:rPr>
          <w:noProof/>
        </w:rPr>
        <w:t>3</w:t>
      </w:r>
      <w:r w:rsidRPr="006F1EEC">
        <w:fldChar w:fldCharType="end"/>
      </w:r>
      <w:r w:rsidRPr="006F1EEC">
        <w:t xml:space="preserve"> Neogene basement of the southern Danube Basin </w:t>
      </w:r>
      <w:r w:rsidR="00522604">
        <w:t>and the location of</w:t>
      </w:r>
      <w:r w:rsidRPr="006F1EEC">
        <w:t xml:space="preserve"> the main gas fields (Rotar-Szalkai et al. 2018).</w:t>
      </w:r>
    </w:p>
    <w:p w14:paraId="5CD44EBC" w14:textId="77777777" w:rsidR="00E727BC" w:rsidRPr="006F1EEC" w:rsidRDefault="00E727BC" w:rsidP="00AC20DC"/>
    <w:p w14:paraId="37F75055" w14:textId="6FA0BDFA" w:rsidR="00AC20DC" w:rsidRPr="006F1EEC" w:rsidRDefault="00AC20DC" w:rsidP="00AC20DC">
      <w:r w:rsidRPr="006F1EEC">
        <w:t>The Mihályi-Répcelak natural CO</w:t>
      </w:r>
      <w:r w:rsidRPr="006F1EEC">
        <w:rPr>
          <w:vertAlign w:val="subscript"/>
        </w:rPr>
        <w:t>2</w:t>
      </w:r>
      <w:r w:rsidRPr="006F1EEC">
        <w:t xml:space="preserve"> reservoir can serve as basis to study the potential effects of artificial CO</w:t>
      </w:r>
      <w:r w:rsidRPr="006F1EEC">
        <w:rPr>
          <w:vertAlign w:val="subscript"/>
        </w:rPr>
        <w:t>2</w:t>
      </w:r>
      <w:r w:rsidRPr="006F1EEC">
        <w:t xml:space="preserve"> storage systems. </w:t>
      </w:r>
      <w:r w:rsidR="00FA270A">
        <w:t>As a result,</w:t>
      </w:r>
      <w:r w:rsidRPr="006F1EEC">
        <w:t xml:space="preserve"> detailed surveys have been carried out, including water-rock interaction studies (Király et al. 2016, Szamosfalvi et al. 2017). </w:t>
      </w:r>
    </w:p>
    <w:p w14:paraId="25D1ACDD" w14:textId="7AEDD1C0" w:rsidR="00AC20DC" w:rsidRPr="006F1EEC" w:rsidRDefault="00AC20DC" w:rsidP="00AC20DC">
      <w:r w:rsidRPr="006F1EEC">
        <w:t>Due to its positive geothermal anomaly (with heat ﬂow density between 32 and 115 mW/m</w:t>
      </w:r>
      <w:r w:rsidRPr="00522604">
        <w:rPr>
          <w:vertAlign w:val="superscript"/>
        </w:rPr>
        <w:t>2</w:t>
      </w:r>
      <w:r w:rsidRPr="006F1EEC">
        <w:t>, (mean: 77</w:t>
      </w:r>
      <w:r w:rsidR="00FA270A">
        <w:t>.</w:t>
      </w:r>
      <w:r w:rsidRPr="006F1EEC">
        <w:t>6 mW/m</w:t>
      </w:r>
      <w:r w:rsidRPr="00522604">
        <w:rPr>
          <w:vertAlign w:val="superscript"/>
        </w:rPr>
        <w:t>2</w:t>
      </w:r>
      <w:r w:rsidRPr="006F1EEC">
        <w:t>) and geothermal gradient</w:t>
      </w:r>
      <w:r w:rsidR="00FA270A">
        <w:t>s</w:t>
      </w:r>
      <w:r w:rsidRPr="006F1EEC">
        <w:t xml:space="preserve"> between 21 and 55 °C/km (mean 32</w:t>
      </w:r>
      <w:r w:rsidR="00FA270A">
        <w:t>.</w:t>
      </w:r>
      <w:r w:rsidRPr="006F1EEC">
        <w:t>3 °C/km) thermal water</w:t>
      </w:r>
      <w:r w:rsidR="00FA270A">
        <w:t xml:space="preserve">s exist in </w:t>
      </w:r>
      <w:r w:rsidRPr="006F1EEC">
        <w:t xml:space="preserve">the Upper Miocene aquifer layers </w:t>
      </w:r>
      <w:r w:rsidR="00FA270A">
        <w:t xml:space="preserve">and </w:t>
      </w:r>
      <w:r w:rsidRPr="006F1EEC">
        <w:t>are used in several locations</w:t>
      </w:r>
      <w:r w:rsidR="00FA270A">
        <w:t>,</w:t>
      </w:r>
      <w:r w:rsidRPr="006F1EEC">
        <w:t xml:space="preserve"> mainly for balneological purposes (Goetzl et al., 2012).</w:t>
      </w:r>
    </w:p>
    <w:p w14:paraId="77E167E8" w14:textId="05746057" w:rsidR="00AC20DC" w:rsidRPr="006F1EEC" w:rsidRDefault="00AC20DC" w:rsidP="00AC20DC">
      <w:r w:rsidRPr="006F1EEC">
        <w:t>In addition to the nearly 100 boreholes</w:t>
      </w:r>
      <w:r w:rsidR="00522604">
        <w:t xml:space="preserve"> with borelog descriptions</w:t>
      </w:r>
      <w:r w:rsidR="00FA270A">
        <w:t>,</w:t>
      </w:r>
      <w:r w:rsidRPr="006F1EEC">
        <w:t xml:space="preserve"> tens of drinking water supply and thermal wells are situated in the region</w:t>
      </w:r>
      <w:r w:rsidR="00FA270A">
        <w:t>,</w:t>
      </w:r>
      <w:r w:rsidRPr="006F1EEC">
        <w:t xml:space="preserve"> providing </w:t>
      </w:r>
      <w:r w:rsidR="00FA270A">
        <w:t xml:space="preserve">further </w:t>
      </w:r>
      <w:r w:rsidRPr="006F1EEC">
        <w:t>information about the hydrogeological conditions. Monitoring wells are operated by MBFSZ and the West-Transdanubian Water Directorate</w:t>
      </w:r>
      <w:r w:rsidR="00FA270A">
        <w:t xml:space="preserve"> and</w:t>
      </w:r>
      <w:r w:rsidRPr="006F1EEC">
        <w:t xml:space="preserve"> observ</w:t>
      </w:r>
      <w:r w:rsidR="00FA270A">
        <w:t>e</w:t>
      </w:r>
      <w:r w:rsidRPr="006F1EEC">
        <w:t xml:space="preserve"> the groundwater heads both in the cold and thermal groundwater bodies. Industrial monitoring systems are operated by L</w:t>
      </w:r>
      <w:r w:rsidR="00522604">
        <w:t>inde</w:t>
      </w:r>
      <w:r w:rsidRPr="006F1EEC">
        <w:t xml:space="preserve"> and MOL</w:t>
      </w:r>
      <w:r w:rsidR="00522604">
        <w:t xml:space="preserve"> connected to their subsurface activities</w:t>
      </w:r>
      <w:r w:rsidRPr="006F1EEC">
        <w:t>.</w:t>
      </w:r>
    </w:p>
    <w:p w14:paraId="1D5C3661" w14:textId="77777777" w:rsidR="00AC20DC" w:rsidRPr="006F1EEC" w:rsidRDefault="00AC20DC" w:rsidP="00186468">
      <w:pPr>
        <w:pStyle w:val="Overskrift2"/>
      </w:pPr>
      <w:bookmarkStart w:id="37" w:name="_Toc14425381"/>
      <w:r w:rsidRPr="006F1EEC">
        <w:t>Available information</w:t>
      </w:r>
      <w:bookmarkEnd w:id="37"/>
    </w:p>
    <w:p w14:paraId="759EEDE5" w14:textId="59A23388" w:rsidR="00AC20DC" w:rsidRPr="006F1EEC" w:rsidRDefault="00AC20DC" w:rsidP="00AC20DC">
      <w:r w:rsidRPr="006F1EEC">
        <w:t>Based on the detailed investigations and research of the last decades great deal of information was collected in different institutes and industrial companies. As the result of regional, national and also international projects</w:t>
      </w:r>
      <w:r w:rsidR="00FA270A">
        <w:t>,</w:t>
      </w:r>
      <w:r w:rsidRPr="006F1EEC">
        <w:t xml:space="preserve"> detailed geological maps, cross-sections and models exist </w:t>
      </w:r>
      <w:r w:rsidR="00FA270A">
        <w:t>at</w:t>
      </w:r>
      <w:r w:rsidR="00FA270A" w:rsidRPr="006F1EEC">
        <w:t xml:space="preserve"> </w:t>
      </w:r>
      <w:r w:rsidRPr="006F1EEC">
        <w:t xml:space="preserve">different scales and resolutions. Borehole and well databases </w:t>
      </w:r>
      <w:r w:rsidR="00FA270A">
        <w:t>have been</w:t>
      </w:r>
      <w:r w:rsidR="00FA270A" w:rsidRPr="006F1EEC">
        <w:t xml:space="preserve"> </w:t>
      </w:r>
      <w:r w:rsidRPr="006F1EEC">
        <w:t xml:space="preserve">developed </w:t>
      </w:r>
      <w:r w:rsidR="00FA270A">
        <w:t xml:space="preserve">which </w:t>
      </w:r>
      <w:r w:rsidRPr="006F1EEC">
        <w:t>contain geological profiles, hydrogeological</w:t>
      </w:r>
      <w:r w:rsidR="00FA270A">
        <w:t>,</w:t>
      </w:r>
      <w:r w:rsidRPr="006F1EEC">
        <w:t xml:space="preserve"> geophysical and geochemical information. 3D geological and 3D regional hydrogeological flow model</w:t>
      </w:r>
      <w:r w:rsidR="00FA270A">
        <w:t>s have</w:t>
      </w:r>
      <w:r w:rsidRPr="006F1EEC">
        <w:t xml:space="preserve"> also</w:t>
      </w:r>
      <w:r w:rsidR="00FA270A">
        <w:t xml:space="preserve"> been</w:t>
      </w:r>
      <w:r w:rsidRPr="006F1EEC">
        <w:t xml:space="preserve"> developed in the frame of the TRANSENERGY project</w:t>
      </w:r>
      <w:r w:rsidR="00BC7937">
        <w:t xml:space="preserve"> (see </w:t>
      </w:r>
      <w:r w:rsidR="00BC7937" w:rsidRPr="00BC7937">
        <w:t>http://www.eurogeosurveys.org/projects/transenergy/</w:t>
      </w:r>
      <w:r w:rsidR="00BC7937">
        <w:t>)</w:t>
      </w:r>
      <w:r w:rsidRPr="006F1EEC">
        <w:t xml:space="preserve">. </w:t>
      </w:r>
    </w:p>
    <w:p w14:paraId="6D194F0B" w14:textId="77777777" w:rsidR="00AC20DC" w:rsidRPr="006F1EEC" w:rsidRDefault="00AC20DC" w:rsidP="00186468">
      <w:pPr>
        <w:pStyle w:val="Overskrift2"/>
      </w:pPr>
      <w:bookmarkStart w:id="38" w:name="_Toc14425382"/>
      <w:r w:rsidRPr="006F1EEC">
        <w:t>Information gaps</w:t>
      </w:r>
      <w:bookmarkEnd w:id="38"/>
    </w:p>
    <w:p w14:paraId="18C45CCD" w14:textId="3C737F22" w:rsidR="00772460" w:rsidRPr="006F1EEC" w:rsidRDefault="00AC20DC" w:rsidP="00772460">
      <w:r w:rsidRPr="006F1EEC">
        <w:t>Although research ha</w:t>
      </w:r>
      <w:r w:rsidR="00FA270A">
        <w:t>s</w:t>
      </w:r>
      <w:r w:rsidRPr="006F1EEC">
        <w:t xml:space="preserve"> already </w:t>
      </w:r>
      <w:r w:rsidR="00FA270A">
        <w:t xml:space="preserve">been </w:t>
      </w:r>
      <w:r w:rsidRPr="006F1EEC">
        <w:t xml:space="preserve">carried out in this area, the </w:t>
      </w:r>
      <w:r w:rsidR="00FA270A">
        <w:t xml:space="preserve">vulnerability of </w:t>
      </w:r>
      <w:r w:rsidRPr="006F1EEC">
        <w:t xml:space="preserve">shallow groundwater </w:t>
      </w:r>
      <w:r w:rsidR="00FA270A">
        <w:t xml:space="preserve">to </w:t>
      </w:r>
      <w:r w:rsidRPr="006F1EEC">
        <w:t xml:space="preserve">deep </w:t>
      </w:r>
      <w:r w:rsidR="00FA270A">
        <w:t>subsurface energy-related</w:t>
      </w:r>
      <w:r w:rsidR="00FA270A" w:rsidRPr="006F1EEC">
        <w:t xml:space="preserve"> </w:t>
      </w:r>
      <w:r w:rsidRPr="006F1EEC">
        <w:t>activit</w:t>
      </w:r>
      <w:r w:rsidR="00FA270A">
        <w:t>ies</w:t>
      </w:r>
      <w:r w:rsidRPr="006F1EEC">
        <w:t xml:space="preserve"> has not been</w:t>
      </w:r>
      <w:r w:rsidR="00FA270A">
        <w:t xml:space="preserve"> yet been assessed</w:t>
      </w:r>
      <w:r w:rsidRPr="006F1EEC">
        <w:t xml:space="preserve">. Integrated evaluation of the abundant information is required </w:t>
      </w:r>
      <w:r w:rsidR="00493A23">
        <w:t xml:space="preserve">in addition to </w:t>
      </w:r>
      <w:r w:rsidRPr="006F1EEC">
        <w:t xml:space="preserve">a uniform methodology to characterize the 3D vulnerability of the aquifer layers of this region. The re-evaluation of some </w:t>
      </w:r>
      <w:r w:rsidR="00493A23">
        <w:t xml:space="preserve">older </w:t>
      </w:r>
      <w:r w:rsidRPr="006F1EEC">
        <w:t>borehole geological profile</w:t>
      </w:r>
      <w:r w:rsidR="00493A23">
        <w:t>s</w:t>
      </w:r>
      <w:r w:rsidRPr="006F1EEC">
        <w:t xml:space="preserve">, geophysical measurements and basic data are required. </w:t>
      </w:r>
    </w:p>
    <w:p w14:paraId="4028EA28" w14:textId="29EB8AA3" w:rsidR="00772460" w:rsidRPr="006F1EEC" w:rsidRDefault="00772460" w:rsidP="00772460">
      <w:pPr>
        <w:pStyle w:val="Overskrift2"/>
      </w:pPr>
      <w:bookmarkStart w:id="39" w:name="_Toc14425383"/>
      <w:r>
        <w:t>Data collection plan</w:t>
      </w:r>
      <w:bookmarkEnd w:id="39"/>
    </w:p>
    <w:p w14:paraId="0AD04F41" w14:textId="2B057E66" w:rsidR="00F4644A" w:rsidRPr="00F4644A" w:rsidRDefault="00F4644A" w:rsidP="00F4644A">
      <w:r w:rsidRPr="00F4644A">
        <w:t xml:space="preserve">To fill the gaps of knowledge we plan to collect available geological, geophysical and hydrogeological information about the pilot area. </w:t>
      </w:r>
      <w:r w:rsidR="00BC7937">
        <w:t>E</w:t>
      </w:r>
      <w:r w:rsidRPr="00F4644A">
        <w:t xml:space="preserve">xisting data is available in this region </w:t>
      </w:r>
      <w:r w:rsidR="00493A23">
        <w:t>from</w:t>
      </w:r>
      <w:r w:rsidRPr="00F4644A">
        <w:t xml:space="preserve"> earlier research projects. Due to intensive hydrocarbon exploration work there are tens of geological and geophysical borehole logs. </w:t>
      </w:r>
      <w:r w:rsidR="00493A23">
        <w:t>D</w:t>
      </w:r>
      <w:r w:rsidRPr="00F4644A">
        <w:t>etailed geological mapping and evaluation of the western part of the Pannonian Basin geological horizons exist</w:t>
      </w:r>
      <w:r w:rsidR="00493A23">
        <w:t>,</w:t>
      </w:r>
      <w:r w:rsidRPr="00F4644A">
        <w:t xml:space="preserve"> which includes the entire pilot site. The results of the detailed hydrogeological model developed to study the hydraulic connections between cold water and thermal water aquifer systems will be used</w:t>
      </w:r>
      <w:r w:rsidR="00493A23">
        <w:t xml:space="preserve"> to understand connecting pathways</w:t>
      </w:r>
      <w:r w:rsidRPr="00F4644A">
        <w:t xml:space="preserve">. The region was studied as natural analogy of CCS systems and several geochemical </w:t>
      </w:r>
      <w:r w:rsidR="00493A23">
        <w:t>investigations</w:t>
      </w:r>
      <w:r w:rsidR="00493A23" w:rsidRPr="00F4644A">
        <w:t xml:space="preserve"> </w:t>
      </w:r>
      <w:r w:rsidRPr="00F4644A">
        <w:t xml:space="preserve">were carried out </w:t>
      </w:r>
      <w:r w:rsidR="00493A23">
        <w:t>for</w:t>
      </w:r>
      <w:r w:rsidRPr="00F4644A">
        <w:t xml:space="preserve"> the basin</w:t>
      </w:r>
      <w:r w:rsidR="00493A23">
        <w:t>-</w:t>
      </w:r>
      <w:r w:rsidRPr="00F4644A">
        <w:t xml:space="preserve">fill sediments. </w:t>
      </w:r>
    </w:p>
    <w:p w14:paraId="09609468" w14:textId="1AC377C5" w:rsidR="00F4644A" w:rsidRDefault="00493A23" w:rsidP="00F4644A">
      <w:r>
        <w:t xml:space="preserve">Potential contamination </w:t>
      </w:r>
      <w:r w:rsidRPr="00F4644A">
        <w:t xml:space="preserve">pathways from a potential deep activity </w:t>
      </w:r>
      <w:r>
        <w:t>to shallow groundwater will be  defined and characterized b</w:t>
      </w:r>
      <w:r w:rsidR="00F4644A" w:rsidRPr="00F4644A">
        <w:t xml:space="preserve">ased on existing data (geological and geophysical borehole logs, seismic sections, geochemical and hydro-geochemical analysis) and the above mentioned studies (geological maps and horizons, hydrogeological </w:t>
      </w:r>
      <w:r w:rsidRPr="00F4644A">
        <w:t>mode</w:t>
      </w:r>
      <w:r>
        <w:t>s</w:t>
      </w:r>
      <w:r w:rsidRPr="00F4644A">
        <w:t xml:space="preserve"> </w:t>
      </w:r>
      <w:r>
        <w:t>and</w:t>
      </w:r>
      <w:r w:rsidR="00F4644A" w:rsidRPr="00F4644A">
        <w:t xml:space="preserve"> tectonic </w:t>
      </w:r>
      <w:r>
        <w:t>studies</w:t>
      </w:r>
      <w:r w:rsidR="00F4644A" w:rsidRPr="00F4644A">
        <w:t>) We will reinterpret existing information, using geophysical, hydrogeological data and models with</w:t>
      </w:r>
      <w:r>
        <w:t>in this context</w:t>
      </w:r>
      <w:r w:rsidR="00F4644A" w:rsidRPr="00F4644A">
        <w:t xml:space="preserve">. </w:t>
      </w:r>
    </w:p>
    <w:p w14:paraId="4CF910CC" w14:textId="75122100" w:rsidR="00772460" w:rsidRDefault="00772460" w:rsidP="00F4644A"/>
    <w:p w14:paraId="2C872754" w14:textId="77777777" w:rsidR="00772460" w:rsidRDefault="00772460" w:rsidP="00772460"/>
    <w:p w14:paraId="7EFA45B7" w14:textId="0A063E0D" w:rsidR="00AC20DC" w:rsidRPr="006F1EEC" w:rsidRDefault="00772460" w:rsidP="00772460">
      <w:r>
        <w:t xml:space="preserve"> </w:t>
      </w:r>
    </w:p>
    <w:p w14:paraId="62BB40CE" w14:textId="77777777" w:rsidR="00AC20DC" w:rsidRPr="006F1EEC" w:rsidRDefault="00AC20DC" w:rsidP="003E3FB2"/>
    <w:p w14:paraId="61F8A3F2" w14:textId="48DEF814" w:rsidR="00AC20DC" w:rsidRPr="006F1EEC" w:rsidRDefault="00AC20DC" w:rsidP="003E3FB2"/>
    <w:p w14:paraId="24D11129" w14:textId="77777777" w:rsidR="003E3FB2" w:rsidRPr="006F1EEC" w:rsidRDefault="003E3FB2" w:rsidP="003E3FB2">
      <w:pPr>
        <w:pStyle w:val="Overskrift1"/>
      </w:pPr>
      <w:bookmarkStart w:id="40" w:name="_Toc527472388"/>
      <w:bookmarkStart w:id="41" w:name="_Ref535574950"/>
      <w:bookmarkStart w:id="42" w:name="_Toc14425384"/>
      <w:r w:rsidRPr="006F1EEC">
        <w:t>Pilot Vale of Pickering</w:t>
      </w:r>
      <w:bookmarkEnd w:id="40"/>
      <w:bookmarkEnd w:id="41"/>
      <w:bookmarkEnd w:id="42"/>
    </w:p>
    <w:p w14:paraId="7E1B1A0A" w14:textId="77777777" w:rsidR="00945FC2" w:rsidRPr="006F1EEC" w:rsidRDefault="00945FC2" w:rsidP="00945FC2">
      <w:pPr>
        <w:pStyle w:val="Overskrift2"/>
      </w:pPr>
      <w:bookmarkStart w:id="43" w:name="_Toc14425385"/>
      <w:r w:rsidRPr="006F1EEC">
        <w:t>Introduction of pilot</w:t>
      </w:r>
      <w:bookmarkEnd w:id="43"/>
    </w:p>
    <w:p w14:paraId="03C41979" w14:textId="159BE7DC" w:rsidR="00945FC2" w:rsidRPr="006F1EEC" w:rsidRDefault="00945FC2" w:rsidP="00945FC2">
      <w:r w:rsidRPr="006F1EEC">
        <w:t xml:space="preserve">The Vale of Pickering is one of </w:t>
      </w:r>
      <w:r w:rsidR="00BC7937">
        <w:t>the</w:t>
      </w:r>
      <w:r w:rsidRPr="006F1EEC">
        <w:t xml:space="preserve"> regions in the UK where exploration for shale </w:t>
      </w:r>
      <w:r w:rsidR="00605D22">
        <w:t>gas has been proposed</w:t>
      </w:r>
      <w:r w:rsidRPr="006F1EEC">
        <w:t>. The BGS, Universities of Birmingham, Bristol, Manchester and York, and Public Health England began an environmental baseline survey of the region in 2015, before significant subsurface activity commenced. This baseline study includes development of 3D geological models of the superficial and bedrock geology, water quality (groundwater and surface water), seismicity, ground motion, air quality, radon and soil gas. Groundwater and surface water are monitored regularly and a number of new boreholes have been drilled into the shallow aquifer for this purpose. This project will use information generated by the ongoing BGS-led Vale of Pickering project to investigate potential pathways from deep hydrocarbon exploration targets to the shallow aquifer units described below.</w:t>
      </w:r>
    </w:p>
    <w:p w14:paraId="1511EC62" w14:textId="77777777" w:rsidR="00945FC2" w:rsidRPr="006F1EEC" w:rsidRDefault="00945FC2" w:rsidP="00945FC2"/>
    <w:p w14:paraId="6BA632A2" w14:textId="77777777" w:rsidR="00945FC2" w:rsidRPr="006F1EEC" w:rsidRDefault="00945FC2" w:rsidP="00945FC2">
      <w:pPr>
        <w:pStyle w:val="Overskrift3"/>
      </w:pPr>
      <w:r w:rsidRPr="006F1EEC">
        <w:t>Geographical setting and land use</w:t>
      </w:r>
    </w:p>
    <w:p w14:paraId="61F1522F" w14:textId="77777777" w:rsidR="00945FC2" w:rsidRPr="006F1EEC" w:rsidRDefault="00945FC2" w:rsidP="00945FC2">
      <w:r w:rsidRPr="006F1EEC">
        <w:t>The Vale of Pickering is a broad flat plain, situated in Yorkshire, northeast England. The pilot area covers approximately 20 km north to south, and 60 km east to west, surrounded by higher ground comprising the North York Moors in the north, Howardian and Hambleton Hills in the west and Yorkshire Wolds in the southeast. The vale is part of the catchment of the River Derwent. Land use is primarily rural and dominated by arable farming with some livestock; clay soils support dominantly cereal crops in the western part of the vale and root crops and oil seed rape in the east (Bearcock et al., 2015; Ward et al. 2017). There are also two urban centres in the Vale; Malton (population 4900) and Pickering (population 6800).</w:t>
      </w:r>
    </w:p>
    <w:p w14:paraId="01EAAD1E" w14:textId="77777777" w:rsidR="00945FC2" w:rsidRPr="006F1EEC" w:rsidRDefault="00945FC2" w:rsidP="00945FC2"/>
    <w:p w14:paraId="23001BC9" w14:textId="77777777" w:rsidR="00945FC2" w:rsidRPr="006F1EEC" w:rsidRDefault="00945FC2" w:rsidP="00945FC2">
      <w:pPr>
        <w:pStyle w:val="Overskrift3"/>
      </w:pPr>
      <w:r w:rsidRPr="006F1EEC">
        <w:t>Geology and hydrogeology</w:t>
      </w:r>
    </w:p>
    <w:p w14:paraId="5636B73A" w14:textId="1473C202" w:rsidR="00945FC2" w:rsidRPr="006F1EEC" w:rsidRDefault="00945FC2" w:rsidP="00945FC2">
      <w:r w:rsidRPr="006F1EEC">
        <w:t>There are two main aquifers</w:t>
      </w:r>
      <w:r w:rsidR="00BC7937">
        <w:t xml:space="preserve"> important for groundwater resources</w:t>
      </w:r>
      <w:r w:rsidRPr="006F1EEC">
        <w:t xml:space="preserve"> in the Vale of Pickering. Superficial Quaternary sediments, of mainly glaciolacustrine origin with marginal alluvial fan deposits, forms a shallow aquifer across the valley floor. Much of this material was the product of a former proglacial lake, Lake Pickering (Evans et al. 2017). Borehole records show that these sediments are of variable thickness, typically less than 40 m thick, but are relatively thin or absent in the north and western part of the vale, and close to Kirby Misperton in the centre of the vale. </w:t>
      </w:r>
    </w:p>
    <w:p w14:paraId="4A71D156" w14:textId="77777777" w:rsidR="00E727BC" w:rsidRPr="006F1EEC" w:rsidRDefault="00945FC2" w:rsidP="00E727BC">
      <w:pPr>
        <w:keepNext/>
      </w:pPr>
      <w:r w:rsidRPr="006F1EEC">
        <w:rPr>
          <w:noProof/>
          <w:lang w:eastAsia="en-GB"/>
        </w:rPr>
        <w:drawing>
          <wp:inline distT="0" distB="0" distL="0" distR="0" wp14:anchorId="565E1CB3" wp14:editId="737FE11B">
            <wp:extent cx="5840083" cy="4836566"/>
            <wp:effectExtent l="0" t="0" r="889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12115" r="15343" b="11627"/>
                    <a:stretch/>
                  </pic:blipFill>
                  <pic:spPr bwMode="auto">
                    <a:xfrm>
                      <a:off x="0" y="0"/>
                      <a:ext cx="5869329" cy="4860787"/>
                    </a:xfrm>
                    <a:prstGeom prst="rect">
                      <a:avLst/>
                    </a:prstGeom>
                    <a:ln>
                      <a:noFill/>
                    </a:ln>
                    <a:extLst>
                      <a:ext uri="{53640926-AAD7-44D8-BBD7-CCE9431645EC}">
                        <a14:shadowObscured xmlns:a14="http://schemas.microsoft.com/office/drawing/2010/main"/>
                      </a:ext>
                    </a:extLst>
                  </pic:spPr>
                </pic:pic>
              </a:graphicData>
            </a:graphic>
          </wp:inline>
        </w:drawing>
      </w:r>
    </w:p>
    <w:p w14:paraId="0C20084F" w14:textId="547087EF" w:rsidR="00945FC2" w:rsidRPr="006F1EEC" w:rsidRDefault="00E727BC" w:rsidP="00E727BC">
      <w:pPr>
        <w:pStyle w:val="Billedtekst"/>
      </w:pPr>
      <w:bookmarkStart w:id="44" w:name="_Ref897357"/>
      <w:r w:rsidRPr="006F1EEC">
        <w:t xml:space="preserve">Figure </w:t>
      </w:r>
      <w:r w:rsidRPr="006F1EEC">
        <w:fldChar w:fldCharType="begin"/>
      </w:r>
      <w:r w:rsidRPr="006F1EEC">
        <w:instrText xml:space="preserve"> SEQ Figure \* ARABIC </w:instrText>
      </w:r>
      <w:r w:rsidRPr="006F1EEC">
        <w:fldChar w:fldCharType="separate"/>
      </w:r>
      <w:r w:rsidR="00734A2A">
        <w:rPr>
          <w:noProof/>
        </w:rPr>
        <w:t>4</w:t>
      </w:r>
      <w:r w:rsidRPr="006F1EEC">
        <w:fldChar w:fldCharType="end"/>
      </w:r>
      <w:bookmarkEnd w:id="44"/>
      <w:r w:rsidRPr="006F1EEC">
        <w:t xml:space="preserve"> </w:t>
      </w:r>
      <w:r w:rsidR="00184293" w:rsidRPr="00184293">
        <w:t>Regional bedrock geology map of the Vale of Pickering, showing water abstraction boreholes and past groundwater investigations (from Ward et al., 2017). Geological information, BGS @ NERC. Contains Ordnance Survey data © Crown Copyright and database rights 2016.</w:t>
      </w:r>
    </w:p>
    <w:p w14:paraId="43EB892E" w14:textId="3DA72BBF" w:rsidR="00945FC2" w:rsidRPr="006F1EEC" w:rsidRDefault="00945FC2" w:rsidP="00945FC2"/>
    <w:p w14:paraId="3DFA7251" w14:textId="3203A584" w:rsidR="00945FC2" w:rsidRPr="006F1EEC" w:rsidRDefault="00945FC2" w:rsidP="00945FC2">
      <w:pPr>
        <w:rPr>
          <w:strike/>
        </w:rPr>
      </w:pPr>
      <w:r w:rsidRPr="006F1EEC">
        <w:t>The Quaternary deposits overlie a thick sequence of Jurassic Ampthill &amp; Kimmeridge Clay which, though clay-dominant and poorly permeable, contain some sandy horizons (</w:t>
      </w:r>
      <w:r w:rsidR="00E727BC" w:rsidRPr="006F1EEC">
        <w:fldChar w:fldCharType="begin"/>
      </w:r>
      <w:r w:rsidR="00E727BC" w:rsidRPr="006F1EEC">
        <w:instrText xml:space="preserve"> REF _Ref897357 \h </w:instrText>
      </w:r>
      <w:r w:rsidR="00E727BC" w:rsidRPr="006F1EEC">
        <w:fldChar w:fldCharType="separate"/>
      </w:r>
      <w:r w:rsidR="00734A2A" w:rsidRPr="006F1EEC">
        <w:t xml:space="preserve">Figure </w:t>
      </w:r>
      <w:r w:rsidR="00734A2A">
        <w:rPr>
          <w:noProof/>
        </w:rPr>
        <w:t>4</w:t>
      </w:r>
      <w:r w:rsidR="00E727BC" w:rsidRPr="006F1EEC">
        <w:fldChar w:fldCharType="end"/>
      </w:r>
      <w:r w:rsidRPr="006F1EEC">
        <w:t>). Sandy horizons and weathered upper sections can contain locally significant amounts of groundwater. The Quaternary and upper Ampthill/Kimmeridge deposits have been termed collectively the “Superficial” aquifer (Ward et al., 2017).</w:t>
      </w:r>
    </w:p>
    <w:p w14:paraId="4C0067A4" w14:textId="0E1977C6" w:rsidR="00945FC2" w:rsidRPr="006F1EEC" w:rsidRDefault="00945FC2" w:rsidP="00945FC2">
      <w:r w:rsidRPr="006F1EEC">
        <w:t xml:space="preserve">The Jurassic Corallian (Limestone) Group is the second aquifer of interest </w:t>
      </w:r>
      <w:r w:rsidR="00BC7937">
        <w:t xml:space="preserve">for groundwater resources </w:t>
      </w:r>
      <w:r w:rsidRPr="006F1EEC">
        <w:t>in the area. It is designated as a Principal Aquifer</w:t>
      </w:r>
      <w:r w:rsidRPr="006F1EEC">
        <w:rPr>
          <w:rStyle w:val="Fodnotehenvisning"/>
        </w:rPr>
        <w:footnoteReference w:id="2"/>
      </w:r>
      <w:r w:rsidRPr="006F1EEC">
        <w:t xml:space="preserve"> and provides a source of water for both public and private supply, though is only exploited along the margins of the vale (</w:t>
      </w:r>
      <w:r w:rsidR="00E727BC" w:rsidRPr="006F1EEC">
        <w:fldChar w:fldCharType="begin"/>
      </w:r>
      <w:r w:rsidR="00E727BC" w:rsidRPr="006F1EEC">
        <w:instrText xml:space="preserve"> REF _Ref897357 \h </w:instrText>
      </w:r>
      <w:r w:rsidR="00E727BC" w:rsidRPr="006F1EEC">
        <w:fldChar w:fldCharType="separate"/>
      </w:r>
      <w:r w:rsidR="00734A2A" w:rsidRPr="006F1EEC">
        <w:t xml:space="preserve">Figure </w:t>
      </w:r>
      <w:r w:rsidR="00734A2A">
        <w:rPr>
          <w:noProof/>
        </w:rPr>
        <w:t>4</w:t>
      </w:r>
      <w:r w:rsidR="00E727BC" w:rsidRPr="006F1EEC">
        <w:fldChar w:fldCharType="end"/>
      </w:r>
      <w:r w:rsidRPr="006F1EEC">
        <w:t>). Within the vale itself, the Corallian Limestone is not used as a water resource because of its depth (typically &gt;200 m in the central area) and elevated salinity.  The Corallian aquifer is recharged from the outcrop area along margins of</w:t>
      </w:r>
      <w:r w:rsidR="008D5659" w:rsidRPr="006F1EEC">
        <w:t xml:space="preserve"> the Vale of Pickering (</w:t>
      </w:r>
      <w:r w:rsidR="00E727BC" w:rsidRPr="006F1EEC">
        <w:fldChar w:fldCharType="begin"/>
      </w:r>
      <w:r w:rsidR="00E727BC" w:rsidRPr="006F1EEC">
        <w:instrText xml:space="preserve"> REF _Ref897357 \h </w:instrText>
      </w:r>
      <w:r w:rsidR="00E727BC" w:rsidRPr="006F1EEC">
        <w:fldChar w:fldCharType="separate"/>
      </w:r>
      <w:r w:rsidR="00734A2A" w:rsidRPr="006F1EEC">
        <w:t xml:space="preserve">Figure </w:t>
      </w:r>
      <w:r w:rsidR="00734A2A">
        <w:rPr>
          <w:noProof/>
        </w:rPr>
        <w:t>4</w:t>
      </w:r>
      <w:r w:rsidR="00E727BC" w:rsidRPr="006F1EEC">
        <w:fldChar w:fldCharType="end"/>
      </w:r>
      <w:r w:rsidRPr="006F1EEC">
        <w:t xml:space="preserve">) and groundwater flows downgradient towards the confined section. The upper reaches of the River Derwent provide recharge to the Corallian aquifer in the northeast, although further downstream, the river is groundwater fed (Ward et al., 2017). </w:t>
      </w:r>
    </w:p>
    <w:p w14:paraId="4694CCBA" w14:textId="77777777" w:rsidR="00945FC2" w:rsidRPr="006F1EEC" w:rsidRDefault="00945FC2" w:rsidP="00945FC2"/>
    <w:p w14:paraId="557EE6B7" w14:textId="77777777" w:rsidR="00945FC2" w:rsidRPr="006F1EEC" w:rsidRDefault="00945FC2" w:rsidP="00945FC2">
      <w:pPr>
        <w:pStyle w:val="Overskrift4"/>
      </w:pPr>
      <w:r w:rsidRPr="006F1EEC">
        <w:t>Hydrogeochemistry</w:t>
      </w:r>
    </w:p>
    <w:p w14:paraId="0065F0F2" w14:textId="4BBA062F" w:rsidR="00945FC2" w:rsidRPr="006F1EEC" w:rsidRDefault="00945FC2" w:rsidP="00945FC2">
      <w:r w:rsidRPr="006F1EEC">
        <w:t>The Vale of Pickering has been studied extensively for its hydrogeochemistry as part of the ongoing baseline monitoring project, as well as earlier baseline groundwater investigations (Bearcock et al., 2015). Ward et al. (2017)</w:t>
      </w:r>
      <w:r w:rsidR="000B6138">
        <w:t xml:space="preserve"> defined</w:t>
      </w:r>
      <w:r w:rsidRPr="006F1EEC">
        <w:t xml:space="preserve"> groundwater in the superficial aquifer as Na-HCO</w:t>
      </w:r>
      <w:r w:rsidRPr="006F1EEC">
        <w:rPr>
          <w:vertAlign w:val="subscript"/>
        </w:rPr>
        <w:t>3</w:t>
      </w:r>
      <w:r w:rsidRPr="006F1EEC">
        <w:t xml:space="preserve"> in character, whilst the unconfined Corallian Limestone aquifer is Ca-HCO</w:t>
      </w:r>
      <w:r w:rsidRPr="006F1EEC">
        <w:rPr>
          <w:vertAlign w:val="subscript"/>
        </w:rPr>
        <w:t>3</w:t>
      </w:r>
      <w:r w:rsidRPr="006F1EEC">
        <w:t xml:space="preserve"> </w:t>
      </w:r>
      <w:r w:rsidR="000B6138">
        <w:t>dominated and t</w:t>
      </w:r>
      <w:r w:rsidRPr="006F1EEC">
        <w:t xml:space="preserve">he confined Corallian in the central part of the vale </w:t>
      </w:r>
      <w:r w:rsidR="000B6138">
        <w:t>is</w:t>
      </w:r>
      <w:r w:rsidR="000B6138" w:rsidRPr="006F1EEC">
        <w:t xml:space="preserve"> </w:t>
      </w:r>
      <w:r w:rsidRPr="006F1EEC">
        <w:t>Na-HCO</w:t>
      </w:r>
      <w:r w:rsidRPr="006F1EEC">
        <w:rPr>
          <w:vertAlign w:val="subscript"/>
        </w:rPr>
        <w:t>3</w:t>
      </w:r>
      <w:r w:rsidRPr="006F1EEC">
        <w:t xml:space="preserve"> </w:t>
      </w:r>
      <w:r w:rsidR="000B6138">
        <w:t>dominated</w:t>
      </w:r>
      <w:r w:rsidRPr="006F1EEC">
        <w:t xml:space="preserve">. Groundwater in the </w:t>
      </w:r>
      <w:r w:rsidR="000B6138">
        <w:t>s</w:t>
      </w:r>
      <w:r w:rsidRPr="006F1EEC">
        <w:t>uperficial aquifer is anoxic in character, while that in the marginal Corallian aquifer has varied redox character as a result of it differing levels of confinement. Throughout the region, confined groundwater has notably high concentrations of dissolved CH</w:t>
      </w:r>
      <w:r w:rsidRPr="006F1EEC">
        <w:rPr>
          <w:vertAlign w:val="subscript"/>
        </w:rPr>
        <w:t>4</w:t>
      </w:r>
      <w:r w:rsidRPr="006F1EEC">
        <w:t>. This is most likely of biogenic origin (Smedley et al., 2016; Ward et al., 2017).</w:t>
      </w:r>
    </w:p>
    <w:p w14:paraId="61D92E0F" w14:textId="47D43F1F" w:rsidR="00945FC2" w:rsidRPr="006F1EEC" w:rsidRDefault="00945FC2" w:rsidP="00945FC2">
      <w:r w:rsidRPr="006F1EEC">
        <w:t xml:space="preserve">Further sampling for dissolved methane was conducted in the area as part of a wider UK Methane Baseline survey conducted by Bell et al. (2016). Samples were collected from the Corallian Group and West Walton Group (situated stratigraphically below the Corallian Group). Methane concentrations </w:t>
      </w:r>
      <w:r w:rsidR="00F3133B" w:rsidRPr="006F1EEC">
        <w:t xml:space="preserve">above detection limit </w:t>
      </w:r>
      <w:r w:rsidRPr="006F1EEC">
        <w:t xml:space="preserve">were recorded, but were not at significant </w:t>
      </w:r>
      <w:r w:rsidR="00F3133B">
        <w:t xml:space="preserve">enough </w:t>
      </w:r>
      <w:r w:rsidRPr="006F1EEC">
        <w:t xml:space="preserve">concentrations to be above the lower explosion limit </w:t>
      </w:r>
      <w:r w:rsidR="00F3133B">
        <w:t xml:space="preserve">if it was to degas </w:t>
      </w:r>
      <w:r w:rsidRPr="006F1EEC">
        <w:t xml:space="preserve">(LEL – 1600 </w:t>
      </w:r>
      <w:r w:rsidRPr="006F1EEC">
        <w:rPr>
          <w:rFonts w:cstheme="minorHAnsi"/>
        </w:rPr>
        <w:t>µ</w:t>
      </w:r>
      <w:r w:rsidRPr="006F1EEC">
        <w:t xml:space="preserve">g/l). </w:t>
      </w:r>
    </w:p>
    <w:p w14:paraId="63C8CD7D" w14:textId="77777777" w:rsidR="00945FC2" w:rsidRPr="006F1EEC" w:rsidRDefault="00945FC2" w:rsidP="00945FC2"/>
    <w:p w14:paraId="29802D0C" w14:textId="77777777" w:rsidR="00945FC2" w:rsidRPr="006F1EEC" w:rsidRDefault="00945FC2" w:rsidP="00945FC2">
      <w:pPr>
        <w:pStyle w:val="Overskrift4"/>
      </w:pPr>
      <w:r w:rsidRPr="006F1EEC">
        <w:t>Structural Setting</w:t>
      </w:r>
    </w:p>
    <w:p w14:paraId="5D85A021" w14:textId="00A9C4E1" w:rsidR="003E0D42" w:rsidRPr="006F1EEC" w:rsidRDefault="00945FC2" w:rsidP="00945FC2">
      <w:r w:rsidRPr="006F1EEC">
        <w:t>Investigations of the deeper geology of the Vale of Pickering, focussed on the post-Permian structure (Newell et al., 201</w:t>
      </w:r>
      <w:r w:rsidR="00F4644A">
        <w:t>5</w:t>
      </w:r>
      <w:r w:rsidRPr="006F1EEC">
        <w:t>), have provided support for a strong structural control on the geometry of the Corallian aquifer and adjacent strata (</w:t>
      </w:r>
      <w:r w:rsidR="00BC3A0E" w:rsidRPr="006F1EEC">
        <w:t xml:space="preserve">, </w:t>
      </w:r>
      <w:r w:rsidR="00BC3A0E" w:rsidRPr="006F1EEC">
        <w:fldChar w:fldCharType="begin"/>
      </w:r>
      <w:r w:rsidR="00BC3A0E" w:rsidRPr="006F1EEC">
        <w:instrText xml:space="preserve"> REF _Ref898448 \h </w:instrText>
      </w:r>
      <w:r w:rsidR="00BC3A0E" w:rsidRPr="006F1EEC">
        <w:fldChar w:fldCharType="separate"/>
      </w:r>
      <w:r w:rsidR="00734A2A" w:rsidRPr="006F1EEC">
        <w:t xml:space="preserve">Figure </w:t>
      </w:r>
      <w:r w:rsidR="00734A2A">
        <w:rPr>
          <w:noProof/>
        </w:rPr>
        <w:t>6</w:t>
      </w:r>
      <w:r w:rsidR="00BC3A0E" w:rsidRPr="006F1EEC">
        <w:fldChar w:fldCharType="end"/>
      </w:r>
      <w:r w:rsidR="00BC3A0E" w:rsidRPr="006F1EEC">
        <w:t xml:space="preserve">, </w:t>
      </w:r>
      <w:r w:rsidR="00BC3A0E" w:rsidRPr="006F1EEC">
        <w:fldChar w:fldCharType="begin"/>
      </w:r>
      <w:r w:rsidR="00BC3A0E" w:rsidRPr="006F1EEC">
        <w:instrText xml:space="preserve"> REF _Ref898450 \h </w:instrText>
      </w:r>
      <w:r w:rsidR="00BC3A0E" w:rsidRPr="006F1EEC">
        <w:fldChar w:fldCharType="separate"/>
      </w:r>
      <w:r w:rsidR="00734A2A" w:rsidRPr="006F1EEC">
        <w:t xml:space="preserve">Figure </w:t>
      </w:r>
      <w:r w:rsidR="00734A2A">
        <w:rPr>
          <w:noProof/>
        </w:rPr>
        <w:t>7</w:t>
      </w:r>
      <w:r w:rsidR="00BC3A0E" w:rsidRPr="006F1EEC">
        <w:fldChar w:fldCharType="end"/>
      </w:r>
      <w:r w:rsidR="00BC3A0E" w:rsidRPr="006F1EEC">
        <w:t xml:space="preserve">, </w:t>
      </w:r>
      <w:r w:rsidR="00BC3A0E" w:rsidRPr="006F1EEC">
        <w:fldChar w:fldCharType="begin"/>
      </w:r>
      <w:r w:rsidR="00BC3A0E" w:rsidRPr="006F1EEC">
        <w:instrText xml:space="preserve"> REF _Ref898452 \h </w:instrText>
      </w:r>
      <w:r w:rsidR="00BC3A0E" w:rsidRPr="006F1EEC">
        <w:fldChar w:fldCharType="separate"/>
      </w:r>
      <w:r w:rsidR="00734A2A" w:rsidRPr="006F1EEC">
        <w:t xml:space="preserve">Figure </w:t>
      </w:r>
      <w:r w:rsidR="00734A2A">
        <w:rPr>
          <w:noProof/>
        </w:rPr>
        <w:t>8</w:t>
      </w:r>
      <w:r w:rsidR="00BC3A0E" w:rsidRPr="006F1EEC">
        <w:fldChar w:fldCharType="end"/>
      </w:r>
      <w:r w:rsidR="00BC3A0E" w:rsidRPr="006F1EEC">
        <w:t xml:space="preserve">, and </w:t>
      </w:r>
      <w:r w:rsidR="00BC3A0E" w:rsidRPr="006F1EEC">
        <w:fldChar w:fldCharType="begin"/>
      </w:r>
      <w:r w:rsidR="00BC3A0E" w:rsidRPr="006F1EEC">
        <w:instrText xml:space="preserve"> REF _Ref898456 \h </w:instrText>
      </w:r>
      <w:r w:rsidR="00BC3A0E" w:rsidRPr="006F1EEC">
        <w:fldChar w:fldCharType="separate"/>
      </w:r>
      <w:r w:rsidR="00734A2A" w:rsidRPr="006F1EEC">
        <w:t xml:space="preserve">Figure </w:t>
      </w:r>
      <w:r w:rsidR="00734A2A">
        <w:rPr>
          <w:noProof/>
        </w:rPr>
        <w:t>9</w:t>
      </w:r>
      <w:r w:rsidR="00BC3A0E" w:rsidRPr="006F1EEC">
        <w:fldChar w:fldCharType="end"/>
      </w:r>
      <w:r w:rsidRPr="006F1EEC">
        <w:t>). Relatively abundant faults, with a predominant east-west orientation, have dissected the Corallian into numerous blocks. This faulting may disrupt the flow of groundwater in the confined sections of the aquifer, leading to likely compartmentalisation of the aquifer. One of the remaining questions is whether the faults are listric within the Zechstein/Permian or through-going (Newell et al., 201</w:t>
      </w:r>
      <w:r w:rsidR="00F4644A">
        <w:t>5</w:t>
      </w:r>
      <w:r w:rsidRPr="006F1EEC">
        <w:t xml:space="preserve">) which would have implications for continuation of potential pathways from the target to shallow groundwater. </w:t>
      </w:r>
    </w:p>
    <w:p w14:paraId="62B0FE2F" w14:textId="77777777" w:rsidR="00945FC2" w:rsidRPr="006F1EEC" w:rsidRDefault="00945FC2" w:rsidP="00945FC2"/>
    <w:p w14:paraId="3B144630" w14:textId="77777777" w:rsidR="00945FC2" w:rsidRPr="006F1EEC" w:rsidRDefault="00945FC2" w:rsidP="00945FC2">
      <w:pPr>
        <w:pStyle w:val="Overskrift4"/>
      </w:pPr>
      <w:r w:rsidRPr="006F1EEC">
        <w:t>Geology of interest for deep energy-related activities</w:t>
      </w:r>
    </w:p>
    <w:p w14:paraId="13D5759C" w14:textId="70623A26" w:rsidR="00945FC2" w:rsidRPr="006F1EEC" w:rsidRDefault="00945FC2" w:rsidP="00945FC2">
      <w:r w:rsidRPr="006F1EEC">
        <w:t xml:space="preserve">The target formation for shale gas extraction within the Vale of Pickering is the Bowland Shale formation, of the Craven Group, Carboniferous Age (Loveless et al., 2018). It is a dark grey siliciclastic to calcareous mudstone, with limestone packstone and wackestone beds (BGS Lexicon, n.d.). The upper surface is situated at a depth between 1700 m (south of the vale) and 2200 m (north of the vale), at the contact with the overlying Millstone Grit Group. The thickness of the Bowland Shale in the Vale of Pickering is undefined, as there is no drilled evidence through the entire sequence. Conventional gas resources are extracted from the Zechstein group above, which has an upper surface between 1400 m (north) and 1000 m (south) below ground level, and a total thickness of approximately 350 m (Loveless et al. 2018). </w:t>
      </w:r>
      <w:r w:rsidRPr="006F1EEC">
        <w:br w:type="page"/>
      </w:r>
    </w:p>
    <w:p w14:paraId="4F2E0DB8" w14:textId="77777777" w:rsidR="003E0D42" w:rsidRPr="006F1EEC" w:rsidRDefault="003E0D42" w:rsidP="003E0D42">
      <w:pPr>
        <w:keepNext/>
      </w:pPr>
      <w:r w:rsidRPr="006F1EEC">
        <w:rPr>
          <w:noProof/>
          <w:lang w:eastAsia="en-GB"/>
        </w:rPr>
        <w:drawing>
          <wp:inline distT="0" distB="0" distL="0" distR="0" wp14:anchorId="31DED287" wp14:editId="0B5AAC82">
            <wp:extent cx="5618480" cy="3408045"/>
            <wp:effectExtent l="0" t="0" r="1270" b="1905"/>
            <wp:docPr id="38" name="Picture 38" descr="D:\projdirs\GeoERA\gw4_VoGERA\WP3\BGS_fig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projdirs\GeoERA\gw4_VoGERA\WP3\BGS_fig2a.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8480" cy="3408045"/>
                    </a:xfrm>
                    <a:prstGeom prst="rect">
                      <a:avLst/>
                    </a:prstGeom>
                    <a:noFill/>
                    <a:ln>
                      <a:noFill/>
                    </a:ln>
                  </pic:spPr>
                </pic:pic>
              </a:graphicData>
            </a:graphic>
          </wp:inline>
        </w:drawing>
      </w:r>
    </w:p>
    <w:p w14:paraId="155BA7D7" w14:textId="458759B0" w:rsidR="003E0D42" w:rsidRPr="006F1EEC" w:rsidRDefault="003E0D42" w:rsidP="003E0D42">
      <w:pPr>
        <w:pStyle w:val="Billedtekst"/>
      </w:pPr>
      <w:bookmarkStart w:id="45" w:name="_Ref898445"/>
      <w:r w:rsidRPr="006F1EEC">
        <w:t xml:space="preserve">Figure </w:t>
      </w:r>
      <w:r w:rsidRPr="006F1EEC">
        <w:fldChar w:fldCharType="begin"/>
      </w:r>
      <w:r w:rsidRPr="006F1EEC">
        <w:instrText xml:space="preserve"> SEQ Figure \* ARABIC </w:instrText>
      </w:r>
      <w:r w:rsidRPr="006F1EEC">
        <w:fldChar w:fldCharType="separate"/>
      </w:r>
      <w:r w:rsidR="00734A2A">
        <w:rPr>
          <w:noProof/>
        </w:rPr>
        <w:t>5</w:t>
      </w:r>
      <w:r w:rsidRPr="006F1EEC">
        <w:fldChar w:fldCharType="end"/>
      </w:r>
      <w:bookmarkEnd w:id="45"/>
      <w:r w:rsidRPr="006F1EEC">
        <w:t xml:space="preserve"> </w:t>
      </w:r>
      <w:r w:rsidR="00E377DA" w:rsidRPr="00E377DA">
        <w:t>N</w:t>
      </w:r>
      <w:r w:rsidR="00BC7937">
        <w:t>orthnorthwest</w:t>
      </w:r>
      <w:r w:rsidR="00E377DA" w:rsidRPr="00E377DA">
        <w:t xml:space="preserve"> – S</w:t>
      </w:r>
      <w:r w:rsidR="00BC7937">
        <w:t>outhsoutheast</w:t>
      </w:r>
      <w:r w:rsidR="00E377DA" w:rsidRPr="00E377DA">
        <w:t xml:space="preserve"> cross-section through the Vale of Pickering, showing evidence of E-W faulting, and compartmentalisation of Corallian Group aquifer. </w:t>
      </w:r>
    </w:p>
    <w:p w14:paraId="7F0D90CC" w14:textId="512924E5" w:rsidR="00945FC2" w:rsidRPr="006F1EEC" w:rsidRDefault="00945FC2" w:rsidP="00945FC2"/>
    <w:p w14:paraId="27FD7710" w14:textId="77777777" w:rsidR="003E0D42" w:rsidRPr="006F1EEC" w:rsidRDefault="003E0D42" w:rsidP="003E0D42">
      <w:pPr>
        <w:keepNext/>
      </w:pPr>
      <w:r w:rsidRPr="006F1EEC">
        <w:rPr>
          <w:noProof/>
          <w:lang w:eastAsia="en-GB"/>
        </w:rPr>
        <w:drawing>
          <wp:inline distT="0" distB="0" distL="0" distR="0" wp14:anchorId="35DAF669" wp14:editId="08CFD90A">
            <wp:extent cx="3760470" cy="5290820"/>
            <wp:effectExtent l="0" t="0" r="0" b="5080"/>
            <wp:docPr id="39" name="Picture 39" descr="D:\projdirs\GeoERA\gw4_VoGERA\WP3\BGS_fig2a-leg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rojdirs\GeoERA\gw4_VoGERA\WP3\BGS_fig2a-legend.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60470" cy="5290820"/>
                    </a:xfrm>
                    <a:prstGeom prst="rect">
                      <a:avLst/>
                    </a:prstGeom>
                    <a:noFill/>
                    <a:ln>
                      <a:noFill/>
                    </a:ln>
                  </pic:spPr>
                </pic:pic>
              </a:graphicData>
            </a:graphic>
          </wp:inline>
        </w:drawing>
      </w:r>
    </w:p>
    <w:p w14:paraId="690B2C67" w14:textId="6E95FB21" w:rsidR="003E0D42" w:rsidRPr="006F1EEC" w:rsidRDefault="003E0D42" w:rsidP="003E0D42">
      <w:pPr>
        <w:pStyle w:val="Billedtekst"/>
      </w:pPr>
      <w:bookmarkStart w:id="46" w:name="_Ref898448"/>
      <w:r w:rsidRPr="006F1EEC">
        <w:t xml:space="preserve">Figure </w:t>
      </w:r>
      <w:r w:rsidRPr="006F1EEC">
        <w:fldChar w:fldCharType="begin"/>
      </w:r>
      <w:r w:rsidRPr="006F1EEC">
        <w:instrText xml:space="preserve"> SEQ Figure \* ARABIC </w:instrText>
      </w:r>
      <w:r w:rsidRPr="006F1EEC">
        <w:fldChar w:fldCharType="separate"/>
      </w:r>
      <w:r w:rsidR="00734A2A">
        <w:rPr>
          <w:noProof/>
        </w:rPr>
        <w:t>6</w:t>
      </w:r>
      <w:r w:rsidRPr="006F1EEC">
        <w:fldChar w:fldCharType="end"/>
      </w:r>
      <w:bookmarkEnd w:id="46"/>
      <w:r w:rsidRPr="006F1EEC">
        <w:t xml:space="preserve"> Stratigraphic key (for sections A-A’ and B-B’)</w:t>
      </w:r>
    </w:p>
    <w:p w14:paraId="6CB35524" w14:textId="168B1C62" w:rsidR="003E0D42" w:rsidRPr="006F1EEC" w:rsidRDefault="003E0D42" w:rsidP="00945FC2"/>
    <w:p w14:paraId="10BE0D02" w14:textId="77777777" w:rsidR="003E0D42" w:rsidRPr="006F1EEC" w:rsidRDefault="003E0D42" w:rsidP="003E0D42">
      <w:pPr>
        <w:keepNext/>
      </w:pPr>
      <w:r w:rsidRPr="006F1EEC">
        <w:rPr>
          <w:noProof/>
          <w:lang w:eastAsia="en-GB"/>
        </w:rPr>
        <w:drawing>
          <wp:inline distT="0" distB="0" distL="0" distR="0" wp14:anchorId="5291BE05" wp14:editId="7B20FF39">
            <wp:extent cx="6116955" cy="2718751"/>
            <wp:effectExtent l="0" t="0" r="0" b="5715"/>
            <wp:docPr id="40" name="Picture 40" descr="D:\projdirs\GeoERA\gw4_VoGERA\WP3\BGS_fig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rojdirs\GeoERA\gw4_VoGERA\WP3\BGS_fig2b.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24462"/>
                    <a:stretch/>
                  </pic:blipFill>
                  <pic:spPr bwMode="auto">
                    <a:xfrm>
                      <a:off x="0" y="0"/>
                      <a:ext cx="6116955" cy="2718751"/>
                    </a:xfrm>
                    <a:prstGeom prst="rect">
                      <a:avLst/>
                    </a:prstGeom>
                    <a:noFill/>
                    <a:ln>
                      <a:noFill/>
                    </a:ln>
                    <a:extLst>
                      <a:ext uri="{53640926-AAD7-44D8-BBD7-CCE9431645EC}">
                        <a14:shadowObscured xmlns:a14="http://schemas.microsoft.com/office/drawing/2010/main"/>
                      </a:ext>
                    </a:extLst>
                  </pic:spPr>
                </pic:pic>
              </a:graphicData>
            </a:graphic>
          </wp:inline>
        </w:drawing>
      </w:r>
    </w:p>
    <w:p w14:paraId="0D2D564E" w14:textId="5F546194" w:rsidR="00C66508" w:rsidRPr="006F1EEC" w:rsidRDefault="003E0D42" w:rsidP="00C66508">
      <w:pPr>
        <w:pStyle w:val="Billedtekst"/>
      </w:pPr>
      <w:bookmarkStart w:id="47" w:name="_Ref898450"/>
      <w:r w:rsidRPr="006F1EEC">
        <w:t xml:space="preserve">Figure </w:t>
      </w:r>
      <w:r w:rsidRPr="006F1EEC">
        <w:fldChar w:fldCharType="begin"/>
      </w:r>
      <w:r w:rsidRPr="006F1EEC">
        <w:instrText xml:space="preserve"> SEQ Figure \* ARABIC </w:instrText>
      </w:r>
      <w:r w:rsidRPr="006F1EEC">
        <w:fldChar w:fldCharType="separate"/>
      </w:r>
      <w:r w:rsidR="00734A2A">
        <w:rPr>
          <w:noProof/>
        </w:rPr>
        <w:t>7</w:t>
      </w:r>
      <w:r w:rsidRPr="006F1EEC">
        <w:fldChar w:fldCharType="end"/>
      </w:r>
      <w:bookmarkEnd w:id="47"/>
      <w:r w:rsidRPr="006F1EEC">
        <w:t xml:space="preserve"> </w:t>
      </w:r>
      <w:r w:rsidR="00184293" w:rsidRPr="00184293">
        <w:t xml:space="preserve">NNW – SSE cross-section through the Vale of Pickering, showing evidence of E-W faulting, and compartmentalisation of Corallian Group aquifer. </w:t>
      </w:r>
      <w:r w:rsidR="00BC7937">
        <w:t>(after</w:t>
      </w:r>
      <w:r w:rsidR="00C66508" w:rsidRPr="00184293">
        <w:t xml:space="preserve"> Newell et al. (2016).</w:t>
      </w:r>
    </w:p>
    <w:p w14:paraId="5BD827CB" w14:textId="77777777" w:rsidR="003E0D42" w:rsidRPr="006F1EEC" w:rsidRDefault="003E0D42" w:rsidP="00945FC2"/>
    <w:p w14:paraId="277CF861" w14:textId="77777777" w:rsidR="00BC3A0E" w:rsidRPr="006F1EEC" w:rsidRDefault="00BC3A0E" w:rsidP="00BC3A0E">
      <w:pPr>
        <w:keepNext/>
      </w:pPr>
      <w:r w:rsidRPr="006F1EEC">
        <w:rPr>
          <w:noProof/>
          <w:lang w:eastAsia="en-GB"/>
        </w:rPr>
        <w:drawing>
          <wp:inline distT="0" distB="0" distL="0" distR="0" wp14:anchorId="6B2951F1" wp14:editId="247CA160">
            <wp:extent cx="5946140" cy="2835910"/>
            <wp:effectExtent l="0" t="0" r="0" b="2540"/>
            <wp:docPr id="41" name="Picture 41" descr="D:\projdirs\GeoERA\gw4_VoGERA\WP3\BGS_fig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projdirs\GeoERA\gw4_VoGERA\WP3\BGS_fig2c.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6140" cy="2835910"/>
                    </a:xfrm>
                    <a:prstGeom prst="rect">
                      <a:avLst/>
                    </a:prstGeom>
                    <a:noFill/>
                    <a:ln>
                      <a:noFill/>
                    </a:ln>
                  </pic:spPr>
                </pic:pic>
              </a:graphicData>
            </a:graphic>
          </wp:inline>
        </w:drawing>
      </w:r>
    </w:p>
    <w:p w14:paraId="7391AFD1" w14:textId="4EED8382" w:rsidR="00BC3A0E" w:rsidRPr="006F1EEC" w:rsidRDefault="00BC3A0E" w:rsidP="00BC3A0E">
      <w:pPr>
        <w:pStyle w:val="Billedtekst"/>
      </w:pPr>
      <w:bookmarkStart w:id="48" w:name="_Ref898452"/>
      <w:r w:rsidRPr="006F1EEC">
        <w:t xml:space="preserve">Figure </w:t>
      </w:r>
      <w:r w:rsidRPr="006F1EEC">
        <w:fldChar w:fldCharType="begin"/>
      </w:r>
      <w:r w:rsidRPr="006F1EEC">
        <w:instrText xml:space="preserve"> SEQ Figure \* ARABIC </w:instrText>
      </w:r>
      <w:r w:rsidRPr="006F1EEC">
        <w:fldChar w:fldCharType="separate"/>
      </w:r>
      <w:r w:rsidR="00734A2A">
        <w:rPr>
          <w:noProof/>
        </w:rPr>
        <w:t>8</w:t>
      </w:r>
      <w:r w:rsidRPr="006F1EEC">
        <w:fldChar w:fldCharType="end"/>
      </w:r>
      <w:bookmarkEnd w:id="48"/>
      <w:r w:rsidRPr="006F1EEC">
        <w:t xml:space="preserve"> </w:t>
      </w:r>
      <w:r w:rsidR="00184293" w:rsidRPr="00184293">
        <w:t>Map showing W-E line of cr</w:t>
      </w:r>
      <w:r w:rsidR="00184293">
        <w:t>oss-section (B-B’) for Figure 9</w:t>
      </w:r>
      <w:r w:rsidR="00184293" w:rsidRPr="00184293" w:rsidDel="00184293">
        <w:t xml:space="preserve"> </w:t>
      </w:r>
    </w:p>
    <w:p w14:paraId="488C9043" w14:textId="77777777" w:rsidR="00BC3A0E" w:rsidRPr="006F1EEC" w:rsidRDefault="00BC3A0E" w:rsidP="00BC3A0E"/>
    <w:p w14:paraId="4F45FEFC" w14:textId="77777777" w:rsidR="00BC3A0E" w:rsidRPr="006F1EEC" w:rsidRDefault="00BC3A0E" w:rsidP="00BC3A0E">
      <w:pPr>
        <w:keepNext/>
      </w:pPr>
      <w:r w:rsidRPr="006F1EEC">
        <w:rPr>
          <w:noProof/>
          <w:lang w:eastAsia="en-GB"/>
        </w:rPr>
        <w:drawing>
          <wp:inline distT="0" distB="0" distL="0" distR="0" wp14:anchorId="72E1C2B5" wp14:editId="4203F611">
            <wp:extent cx="2707340" cy="6011077"/>
            <wp:effectExtent l="5398" t="0" r="3492" b="3493"/>
            <wp:docPr id="42" name="Picture 42" descr="D:\projdirs\GeoERA\gw4_VoGERA\WP3\BGS_fig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projdirs\GeoERA\gw4_VoGERA\WP3\BGS_fig2d.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5400000">
                      <a:off x="0" y="0"/>
                      <a:ext cx="2722929" cy="6045689"/>
                    </a:xfrm>
                    <a:prstGeom prst="rect">
                      <a:avLst/>
                    </a:prstGeom>
                    <a:noFill/>
                    <a:ln>
                      <a:noFill/>
                    </a:ln>
                  </pic:spPr>
                </pic:pic>
              </a:graphicData>
            </a:graphic>
          </wp:inline>
        </w:drawing>
      </w:r>
    </w:p>
    <w:p w14:paraId="125680D9" w14:textId="1EA60696" w:rsidR="00BC3A0E" w:rsidRPr="006F1EEC" w:rsidRDefault="00BC3A0E" w:rsidP="00BC3A0E">
      <w:pPr>
        <w:pStyle w:val="Billedtekst"/>
      </w:pPr>
      <w:bookmarkStart w:id="49" w:name="_Ref898456"/>
      <w:r w:rsidRPr="006F1EEC">
        <w:t xml:space="preserve">Figure </w:t>
      </w:r>
      <w:r w:rsidRPr="006F1EEC">
        <w:fldChar w:fldCharType="begin"/>
      </w:r>
      <w:r w:rsidRPr="006F1EEC">
        <w:instrText xml:space="preserve"> SEQ Figure \* ARABIC </w:instrText>
      </w:r>
      <w:r w:rsidRPr="006F1EEC">
        <w:fldChar w:fldCharType="separate"/>
      </w:r>
      <w:r w:rsidR="00734A2A">
        <w:rPr>
          <w:noProof/>
        </w:rPr>
        <w:t>9</w:t>
      </w:r>
      <w:r w:rsidRPr="006F1EEC">
        <w:fldChar w:fldCharType="end"/>
      </w:r>
      <w:bookmarkEnd w:id="49"/>
      <w:r w:rsidRPr="006F1EEC">
        <w:t xml:space="preserve"> </w:t>
      </w:r>
      <w:r w:rsidR="00184293" w:rsidRPr="00184293">
        <w:t>W-E cross-section, showing laterally continuous units, which slope towards the east. Derived from work by Newell et al. (2016).</w:t>
      </w:r>
    </w:p>
    <w:p w14:paraId="0F2BD125" w14:textId="77777777" w:rsidR="00BC3A0E" w:rsidRPr="006F1EEC" w:rsidRDefault="00BC3A0E" w:rsidP="00BC3A0E"/>
    <w:p w14:paraId="1E86F5FC" w14:textId="164F0A65" w:rsidR="00945FC2" w:rsidRPr="006F1EEC" w:rsidRDefault="00945FC2" w:rsidP="00945FC2">
      <w:pPr>
        <w:rPr>
          <w:rFonts w:asciiTheme="majorHAnsi" w:eastAsiaTheme="majorEastAsia" w:hAnsiTheme="majorHAnsi" w:cstheme="majorBidi"/>
          <w:color w:val="243F60" w:themeColor="accent1" w:themeShade="7F"/>
          <w:szCs w:val="24"/>
        </w:rPr>
      </w:pPr>
    </w:p>
    <w:p w14:paraId="3A979133" w14:textId="77777777" w:rsidR="00945FC2" w:rsidRPr="006F1EEC" w:rsidRDefault="00945FC2" w:rsidP="00945FC2">
      <w:pPr>
        <w:pStyle w:val="Overskrift2"/>
      </w:pPr>
      <w:bookmarkStart w:id="50" w:name="_Toc14425386"/>
      <w:r w:rsidRPr="006F1EEC">
        <w:t>Available infrastructure</w:t>
      </w:r>
      <w:bookmarkEnd w:id="50"/>
    </w:p>
    <w:p w14:paraId="114332DA" w14:textId="77777777" w:rsidR="00945FC2" w:rsidRPr="006F1EEC" w:rsidRDefault="00945FC2" w:rsidP="00945FC2">
      <w:pPr>
        <w:pStyle w:val="Overskrift3"/>
      </w:pPr>
      <w:r w:rsidRPr="006F1EEC">
        <w:t>Deep Infrastructure</w:t>
      </w:r>
    </w:p>
    <w:p w14:paraId="5A0287D8" w14:textId="5E7C1589" w:rsidR="00945FC2" w:rsidRPr="006F1EEC" w:rsidRDefault="00945FC2" w:rsidP="00945FC2">
      <w:r w:rsidRPr="006F1EEC">
        <w:t>The Vale of Pickering has a number of conventional oil and gas wells (approximately 40 adjacent to the environmental monitoring area,</w:t>
      </w:r>
      <w:r w:rsidR="00BC3A0E" w:rsidRPr="006F1EEC">
        <w:t xml:space="preserve"> </w:t>
      </w:r>
      <w:r w:rsidR="00BC3A0E" w:rsidRPr="006F1EEC">
        <w:fldChar w:fldCharType="begin"/>
      </w:r>
      <w:r w:rsidR="00BC3A0E" w:rsidRPr="006F1EEC">
        <w:instrText xml:space="preserve"> REF _Ref897573 \h </w:instrText>
      </w:r>
      <w:r w:rsidR="00BC3A0E" w:rsidRPr="006F1EEC">
        <w:fldChar w:fldCharType="separate"/>
      </w:r>
      <w:r w:rsidR="00734A2A" w:rsidRPr="006F1EEC">
        <w:t xml:space="preserve">Figure </w:t>
      </w:r>
      <w:r w:rsidR="00734A2A">
        <w:rPr>
          <w:noProof/>
        </w:rPr>
        <w:t>10</w:t>
      </w:r>
      <w:r w:rsidR="00BC3A0E" w:rsidRPr="006F1EEC">
        <w:fldChar w:fldCharType="end"/>
      </w:r>
      <w:r w:rsidRPr="006F1EEC">
        <w:t xml:space="preserve">), along with an exploratory shale gas well in the centre of the site. The shale gas well was drilled in 2013, and permission to hydraulically fracture was granted in 2016. However, no hydraulic fracturing activity has taken place to date. The BGS-led partnership has an ongoing operation of environmental monitoring surrounding the unconventional well site, details of which can be found in Smedley </w:t>
      </w:r>
      <w:r w:rsidRPr="006F1EEC">
        <w:rPr>
          <w:i/>
        </w:rPr>
        <w:t>et al.</w:t>
      </w:r>
      <w:r w:rsidRPr="006F1EEC">
        <w:t xml:space="preserve"> (2015) and Ward </w:t>
      </w:r>
      <w:r w:rsidRPr="006F1EEC">
        <w:rPr>
          <w:i/>
        </w:rPr>
        <w:t>et al.</w:t>
      </w:r>
      <w:r w:rsidRPr="006F1EEC">
        <w:t xml:space="preserve"> (2017).</w:t>
      </w:r>
    </w:p>
    <w:p w14:paraId="0C336EBC" w14:textId="77777777" w:rsidR="00E727BC" w:rsidRPr="006F1EEC" w:rsidRDefault="00945FC2" w:rsidP="00E727BC">
      <w:pPr>
        <w:keepNext/>
      </w:pPr>
      <w:r w:rsidRPr="006F1EEC">
        <w:rPr>
          <w:noProof/>
          <w:lang w:eastAsia="en-GB"/>
        </w:rPr>
        <mc:AlternateContent>
          <mc:Choice Requires="wps">
            <w:drawing>
              <wp:anchor distT="0" distB="0" distL="114300" distR="114300" simplePos="0" relativeHeight="251661312" behindDoc="0" locked="0" layoutInCell="1" allowOverlap="1" wp14:anchorId="14A896AE" wp14:editId="22A96090">
                <wp:simplePos x="0" y="0"/>
                <wp:positionH relativeFrom="column">
                  <wp:posOffset>2216989</wp:posOffset>
                </wp:positionH>
                <wp:positionV relativeFrom="paragraph">
                  <wp:posOffset>1894433</wp:posOffset>
                </wp:positionV>
                <wp:extent cx="2320505" cy="793630"/>
                <wp:effectExtent l="0" t="0" r="22860" b="26035"/>
                <wp:wrapNone/>
                <wp:docPr id="5" name="Rectangle 5"/>
                <wp:cNvGraphicFramePr/>
                <a:graphic xmlns:a="http://schemas.openxmlformats.org/drawingml/2006/main">
                  <a:graphicData uri="http://schemas.microsoft.com/office/word/2010/wordprocessingShape">
                    <wps:wsp>
                      <wps:cNvSpPr/>
                      <wps:spPr>
                        <a:xfrm>
                          <a:off x="0" y="0"/>
                          <a:ext cx="2320505" cy="793630"/>
                        </a:xfrm>
                        <a:prstGeom prst="rect">
                          <a:avLst/>
                        </a:prstGeom>
                        <a:noFill/>
                        <a:ln w="19050">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F1348E" id="Rectangle 5" o:spid="_x0000_s1026" style="position:absolute;margin-left:174.55pt;margin-top:149.15pt;width:182.7pt;height:6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" filled="f" strokecolor="black [3213]" strokeweight="1.5pt"/>
            </w:pict>
          </mc:Fallback>
        </mc:AlternateContent>
      </w:r>
      <w:r w:rsidRPr="006F1EEC">
        <w:rPr>
          <w:noProof/>
          <w:lang w:eastAsia="en-GB"/>
        </w:rPr>
        <w:drawing>
          <wp:inline distT="0" distB="0" distL="0" distR="0" wp14:anchorId="56EA3580" wp14:editId="3EA7B918">
            <wp:extent cx="5943600" cy="3978132"/>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nventional Wells VoP - OGA Map program.jpeg"/>
                    <pic:cNvPicPr/>
                  </pic:nvPicPr>
                  <pic:blipFill rotWithShape="1">
                    <a:blip r:embed="rId22" cstate="print">
                      <a:extLst>
                        <a:ext uri="{28A0092B-C50C-407E-A947-70E740481C1C}">
                          <a14:useLocalDpi xmlns:a14="http://schemas.microsoft.com/office/drawing/2010/main" val="0"/>
                        </a:ext>
                      </a:extLst>
                    </a:blip>
                    <a:srcRect t="5351"/>
                    <a:stretch/>
                  </pic:blipFill>
                  <pic:spPr bwMode="auto">
                    <a:xfrm>
                      <a:off x="0" y="0"/>
                      <a:ext cx="5943600" cy="3978132"/>
                    </a:xfrm>
                    <a:prstGeom prst="rect">
                      <a:avLst/>
                    </a:prstGeom>
                    <a:ln>
                      <a:noFill/>
                    </a:ln>
                    <a:extLst>
                      <a:ext uri="{53640926-AAD7-44D8-BBD7-CCE9431645EC}">
                        <a14:shadowObscured xmlns:a14="http://schemas.microsoft.com/office/drawing/2010/main"/>
                      </a:ext>
                    </a:extLst>
                  </pic:spPr>
                </pic:pic>
              </a:graphicData>
            </a:graphic>
          </wp:inline>
        </w:drawing>
      </w:r>
    </w:p>
    <w:p w14:paraId="78064B1F" w14:textId="318ADBFA" w:rsidR="00945FC2" w:rsidRPr="006F1EEC" w:rsidRDefault="00E727BC" w:rsidP="00E727BC">
      <w:pPr>
        <w:pStyle w:val="Billedtekst"/>
      </w:pPr>
      <w:bookmarkStart w:id="51" w:name="_Ref897573"/>
      <w:r w:rsidRPr="006F1EEC">
        <w:t xml:space="preserve">Figure </w:t>
      </w:r>
      <w:r w:rsidRPr="006F1EEC">
        <w:fldChar w:fldCharType="begin"/>
      </w:r>
      <w:r w:rsidRPr="006F1EEC">
        <w:instrText xml:space="preserve"> SEQ Figure \* ARABIC </w:instrText>
      </w:r>
      <w:r w:rsidRPr="006F1EEC">
        <w:fldChar w:fldCharType="separate"/>
      </w:r>
      <w:r w:rsidR="00734A2A">
        <w:rPr>
          <w:noProof/>
        </w:rPr>
        <w:t>10</w:t>
      </w:r>
      <w:r w:rsidRPr="006F1EEC">
        <w:fldChar w:fldCharType="end"/>
      </w:r>
      <w:bookmarkEnd w:id="51"/>
      <w:r w:rsidRPr="006F1EEC">
        <w:t xml:space="preserve"> </w:t>
      </w:r>
      <w:r w:rsidR="00E377DA" w:rsidRPr="00E377DA">
        <w:t>Map from OGA interactive map, showing locations of Conventional Oil and Gas (COG) wells (green points). Black outline highlights approximate extent of Vale of Pickering Environmental Baseline study area. There are approximately 40 COG wells contained within this boundary. © OpenStreetMap (and) contributors, CC-BY-SA. Data from (OGA, n.d.).</w:t>
      </w:r>
    </w:p>
    <w:p w14:paraId="247CD4BB" w14:textId="77777777" w:rsidR="00945FC2" w:rsidRPr="006F1EEC" w:rsidRDefault="00945FC2" w:rsidP="00945FC2">
      <w:pPr>
        <w:rPr>
          <w:sz w:val="18"/>
          <w:szCs w:val="18"/>
        </w:rPr>
      </w:pPr>
    </w:p>
    <w:p w14:paraId="63F9D622" w14:textId="2F2EB8BC" w:rsidR="00945FC2" w:rsidRDefault="00945FC2" w:rsidP="00945FC2">
      <w:pPr>
        <w:rPr>
          <w:b/>
        </w:rPr>
      </w:pPr>
    </w:p>
    <w:p w14:paraId="2E71C88F" w14:textId="77777777" w:rsidR="00077DF5" w:rsidRPr="006F1EEC" w:rsidRDefault="00077DF5" w:rsidP="00945FC2">
      <w:pPr>
        <w:rPr>
          <w:b/>
        </w:rPr>
      </w:pPr>
    </w:p>
    <w:p w14:paraId="0298CC25" w14:textId="77777777" w:rsidR="00945FC2" w:rsidRPr="006F1EEC" w:rsidRDefault="00945FC2" w:rsidP="00945FC2">
      <w:pPr>
        <w:pStyle w:val="Overskrift3"/>
      </w:pPr>
      <w:r w:rsidRPr="006F1EEC">
        <w:t>Existing groundwater use</w:t>
      </w:r>
    </w:p>
    <w:p w14:paraId="3ADC493C" w14:textId="575CFC05" w:rsidR="00945FC2" w:rsidRPr="006F1EEC" w:rsidRDefault="00945FC2" w:rsidP="00945FC2">
      <w:r w:rsidRPr="006F1EEC">
        <w:t xml:space="preserve">Abstractions from the </w:t>
      </w:r>
      <w:r w:rsidR="00C66508">
        <w:t>s</w:t>
      </w:r>
      <w:r w:rsidRPr="006F1EEC">
        <w:t xml:space="preserve">uperficial aquifer can only sustain small-scale private supplies, predominantly for agricultural and domestic use; none is used for drinking water. Groundwater is abstracted from the Corallian Limestone around the periphery of the vale for public supply, agriculture and industry (Bearcock et al., 2015). </w:t>
      </w:r>
    </w:p>
    <w:p w14:paraId="75BCEEC0" w14:textId="77777777" w:rsidR="00BC3A0E" w:rsidRPr="006F1EEC" w:rsidRDefault="00BC3A0E" w:rsidP="00945FC2"/>
    <w:p w14:paraId="2FF25991" w14:textId="77777777" w:rsidR="00945FC2" w:rsidRPr="006F1EEC" w:rsidRDefault="00945FC2" w:rsidP="00945FC2">
      <w:pPr>
        <w:pStyle w:val="Overskrift3"/>
      </w:pPr>
      <w:r w:rsidRPr="006F1EEC">
        <w:t>Environmental Baseline monitoring information</w:t>
      </w:r>
    </w:p>
    <w:p w14:paraId="7F62E730" w14:textId="65760D2C" w:rsidR="00945FC2" w:rsidRPr="006F1EEC" w:rsidRDefault="00945FC2" w:rsidP="00945FC2">
      <w:r w:rsidRPr="006F1EEC">
        <w:t>The groundwater monitoring network established for the environmental baseline monitoring programme uses many of the existing boreholes across the Vale of Pickering. The network comprises 35 - 40 groundwater sites from the Quaternary/Kimmeridge Clay and Corallian aquifers (where unconfined or at the margins of confinement). These sites consist of 28 - 33 existing boreholes/wells, and 7 new groundwater monitoring points installed by BGS near the exploratory shale-gas well (</w:t>
      </w:r>
      <w:r w:rsidR="00BC3A0E" w:rsidRPr="006F1EEC">
        <w:fldChar w:fldCharType="begin"/>
      </w:r>
      <w:r w:rsidR="00BC3A0E" w:rsidRPr="006F1EEC">
        <w:instrText xml:space="preserve"> REF _Ref898589 \h </w:instrText>
      </w:r>
      <w:r w:rsidR="00BC3A0E" w:rsidRPr="006F1EEC">
        <w:fldChar w:fldCharType="separate"/>
      </w:r>
      <w:r w:rsidR="00734A2A" w:rsidRPr="006F1EEC">
        <w:t xml:space="preserve">Figure </w:t>
      </w:r>
      <w:r w:rsidR="00734A2A">
        <w:rPr>
          <w:noProof/>
        </w:rPr>
        <w:t>11</w:t>
      </w:r>
      <w:r w:rsidR="00BC3A0E" w:rsidRPr="006F1EEC">
        <w:fldChar w:fldCharType="end"/>
      </w:r>
      <w:r w:rsidRPr="006F1EEC">
        <w:t xml:space="preserve">). Groundwater monitoring at these sites has been conducted regularly (monthly or quarterly) since September 2015. The ongoing environmental baseline monitoring has also included five groundwater-monitoring boreholes installed by the operator on the exploratory wellsite. These have been monitored by BGS since spring 2016. </w:t>
      </w:r>
    </w:p>
    <w:p w14:paraId="104C22A3" w14:textId="615B77E9" w:rsidR="00945FC2" w:rsidRPr="006F1EEC" w:rsidRDefault="00945FC2" w:rsidP="00945FC2">
      <w:r w:rsidRPr="006F1EEC">
        <w:t>In January 2017, two multi-level monitoring and sampling boreholes were also installed as part of the new BGS monitoring network. One consisted of a continuous multi-channel tubing (CMT) installation to 25 m depth and the second a Solinst ® multi-level sampler (MLS) to 74 m depth. Sampling of these multi-level installations has been ongoing since June 2017. Piezometers are also installed in the deeper Kimmeridge Clay, at c.115 m and c.165 m below surface</w:t>
      </w:r>
      <w:r w:rsidR="001F7B15">
        <w:t>.</w:t>
      </w:r>
      <w:r w:rsidRPr="006F1EEC">
        <w:t xml:space="preserve"> </w:t>
      </w:r>
    </w:p>
    <w:p w14:paraId="53D986FA" w14:textId="77777777" w:rsidR="00945FC2" w:rsidRPr="006F1EEC" w:rsidRDefault="00945FC2" w:rsidP="00945FC2"/>
    <w:p w14:paraId="7F56E106" w14:textId="77777777" w:rsidR="00BC3A0E" w:rsidRPr="006F1EEC" w:rsidRDefault="00945FC2" w:rsidP="00BC3A0E">
      <w:pPr>
        <w:keepNext/>
      </w:pPr>
      <w:r w:rsidRPr="006F1EEC">
        <w:rPr>
          <w:noProof/>
          <w:lang w:eastAsia="en-GB"/>
        </w:rPr>
        <w:drawing>
          <wp:inline distT="0" distB="0" distL="0" distR="0" wp14:anchorId="69199E77" wp14:editId="16E127A8">
            <wp:extent cx="5890437" cy="4911752"/>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8230" r="4647" b="5670"/>
                    <a:stretch/>
                  </pic:blipFill>
                  <pic:spPr bwMode="auto">
                    <a:xfrm>
                      <a:off x="0" y="0"/>
                      <a:ext cx="5899662" cy="4919445"/>
                    </a:xfrm>
                    <a:prstGeom prst="rect">
                      <a:avLst/>
                    </a:prstGeom>
                    <a:ln>
                      <a:noFill/>
                    </a:ln>
                    <a:extLst>
                      <a:ext uri="{53640926-AAD7-44D8-BBD7-CCE9431645EC}">
                        <a14:shadowObscured xmlns:a14="http://schemas.microsoft.com/office/drawing/2010/main"/>
                      </a:ext>
                    </a:extLst>
                  </pic:spPr>
                </pic:pic>
              </a:graphicData>
            </a:graphic>
          </wp:inline>
        </w:drawing>
      </w:r>
    </w:p>
    <w:p w14:paraId="5B1C14C3" w14:textId="2BBF4125" w:rsidR="00945FC2" w:rsidRDefault="00BC3A0E" w:rsidP="00BC3A0E">
      <w:pPr>
        <w:pStyle w:val="Billedtekst"/>
      </w:pPr>
      <w:bookmarkStart w:id="52" w:name="_Ref898589"/>
      <w:r w:rsidRPr="006F1EEC">
        <w:t xml:space="preserve">Figure </w:t>
      </w:r>
      <w:r w:rsidRPr="006F1EEC">
        <w:fldChar w:fldCharType="begin"/>
      </w:r>
      <w:r w:rsidRPr="006F1EEC">
        <w:instrText xml:space="preserve"> SEQ Figure \* ARABIC </w:instrText>
      </w:r>
      <w:r w:rsidRPr="006F1EEC">
        <w:fldChar w:fldCharType="separate"/>
      </w:r>
      <w:r w:rsidR="00734A2A">
        <w:rPr>
          <w:noProof/>
        </w:rPr>
        <w:t>11</w:t>
      </w:r>
      <w:r w:rsidRPr="006F1EEC">
        <w:fldChar w:fldCharType="end"/>
      </w:r>
      <w:bookmarkEnd w:id="52"/>
      <w:r w:rsidRPr="006F1EEC">
        <w:t xml:space="preserve"> </w:t>
      </w:r>
      <w:r w:rsidR="00E377DA" w:rsidRPr="00E377DA">
        <w:t>Network of water monitoring boreholes used for ongoing BGS Environmental Baseline Monitoring in the Vale of Pickering (from Ward et al., 2017). Geological information, BGS @ UKRI.</w:t>
      </w:r>
    </w:p>
    <w:p w14:paraId="6332E458" w14:textId="77777777" w:rsidR="00077DF5" w:rsidRPr="00077DF5" w:rsidRDefault="00077DF5" w:rsidP="00077DF5"/>
    <w:p w14:paraId="6959F13D" w14:textId="77777777" w:rsidR="00945FC2" w:rsidRPr="006F1EEC" w:rsidRDefault="00945FC2" w:rsidP="00945FC2">
      <w:pPr>
        <w:pStyle w:val="Overskrift2"/>
      </w:pPr>
      <w:bookmarkStart w:id="53" w:name="_Toc14425387"/>
      <w:r w:rsidRPr="006F1EEC">
        <w:t>Available information</w:t>
      </w:r>
      <w:bookmarkEnd w:id="53"/>
    </w:p>
    <w:p w14:paraId="27BB9D76" w14:textId="77777777" w:rsidR="00945FC2" w:rsidRPr="006F1EEC" w:rsidRDefault="00945FC2" w:rsidP="00945FC2">
      <w:pPr>
        <w:pStyle w:val="Overskrift3"/>
      </w:pPr>
      <w:r w:rsidRPr="006F1EEC">
        <w:t>Overview of monitoring</w:t>
      </w:r>
    </w:p>
    <w:p w14:paraId="63947C93" w14:textId="77777777" w:rsidR="00945FC2" w:rsidRPr="006F1EEC" w:rsidRDefault="00945FC2" w:rsidP="00945FC2">
      <w:r w:rsidRPr="006F1EEC">
        <w:t>Detailed procedures relevant to sampling procedures for groundwater and surface water can be found in Ward et al. (2017). Below is a list of analytes/parameters collected during the environmental baseline monitoring programme:</w:t>
      </w:r>
    </w:p>
    <w:p w14:paraId="527C02E5" w14:textId="77777777" w:rsidR="00945FC2" w:rsidRPr="006F1EEC" w:rsidRDefault="00945FC2" w:rsidP="008F2680">
      <w:pPr>
        <w:pStyle w:val="Listeafsnit"/>
        <w:numPr>
          <w:ilvl w:val="0"/>
          <w:numId w:val="8"/>
        </w:numPr>
        <w:spacing w:after="160" w:line="259" w:lineRule="auto"/>
        <w:jc w:val="left"/>
      </w:pPr>
      <w:r w:rsidRPr="006F1EEC">
        <w:t>In-situ parameters; pH, temperature, redox potential (Eh), specific electrical conductance (SEC), dissolved oxygen (DO)</w:t>
      </w:r>
    </w:p>
    <w:p w14:paraId="7A87EFD1" w14:textId="77777777" w:rsidR="00945FC2" w:rsidRPr="006F1EEC" w:rsidRDefault="00945FC2" w:rsidP="008F2680">
      <w:pPr>
        <w:pStyle w:val="Listeafsnit"/>
        <w:numPr>
          <w:ilvl w:val="0"/>
          <w:numId w:val="8"/>
        </w:numPr>
        <w:spacing w:after="160" w:line="259" w:lineRule="auto"/>
        <w:jc w:val="left"/>
      </w:pPr>
      <w:r w:rsidRPr="006F1EEC">
        <w:t>Major cation, anion and trace element analysis by ICP-MS and IC</w:t>
      </w:r>
    </w:p>
    <w:p w14:paraId="4C0822F4" w14:textId="390CDAC2" w:rsidR="00945FC2" w:rsidRPr="006F1EEC" w:rsidRDefault="00945FC2" w:rsidP="008F2680">
      <w:pPr>
        <w:pStyle w:val="Listeafsnit"/>
        <w:numPr>
          <w:ilvl w:val="0"/>
          <w:numId w:val="8"/>
        </w:numPr>
        <w:spacing w:after="160" w:line="259" w:lineRule="auto"/>
        <w:jc w:val="left"/>
      </w:pPr>
      <w:r w:rsidRPr="006F1EEC">
        <w:t>Dissolved gas (CH</w:t>
      </w:r>
      <w:r w:rsidRPr="0049550F">
        <w:rPr>
          <w:vertAlign w:val="subscript"/>
        </w:rPr>
        <w:t>4</w:t>
      </w:r>
      <w:r w:rsidRPr="006F1EEC">
        <w:t>, C</w:t>
      </w:r>
      <w:r w:rsidRPr="0049550F">
        <w:rPr>
          <w:vertAlign w:val="subscript"/>
        </w:rPr>
        <w:t>2</w:t>
      </w:r>
      <w:r w:rsidRPr="006F1EEC">
        <w:t>H</w:t>
      </w:r>
      <w:r w:rsidRPr="0049550F">
        <w:rPr>
          <w:vertAlign w:val="subscript"/>
        </w:rPr>
        <w:t>6</w:t>
      </w:r>
      <w:r w:rsidRPr="006F1EEC">
        <w:t>, CO</w:t>
      </w:r>
      <w:r w:rsidRPr="0049550F">
        <w:rPr>
          <w:vertAlign w:val="subscript"/>
        </w:rPr>
        <w:t>2</w:t>
      </w:r>
      <w:r w:rsidRPr="006F1EEC">
        <w:t xml:space="preserve">) </w:t>
      </w:r>
    </w:p>
    <w:p w14:paraId="6F31D88F" w14:textId="77777777" w:rsidR="00945FC2" w:rsidRPr="006F1EEC" w:rsidRDefault="00945FC2" w:rsidP="008F2680">
      <w:pPr>
        <w:pStyle w:val="Listeafsnit"/>
        <w:numPr>
          <w:ilvl w:val="0"/>
          <w:numId w:val="8"/>
        </w:numPr>
        <w:spacing w:after="160" w:line="259" w:lineRule="auto"/>
        <w:jc w:val="left"/>
      </w:pPr>
      <w:r w:rsidRPr="006F1EEC">
        <w:t>Polyaromatic hydrocarbons (PAH)</w:t>
      </w:r>
    </w:p>
    <w:p w14:paraId="664DD1B2" w14:textId="77777777" w:rsidR="00945FC2" w:rsidRPr="006F1EEC" w:rsidRDefault="00945FC2" w:rsidP="008F2680">
      <w:pPr>
        <w:pStyle w:val="Listeafsnit"/>
        <w:numPr>
          <w:ilvl w:val="0"/>
          <w:numId w:val="8"/>
        </w:numPr>
        <w:spacing w:after="160" w:line="259" w:lineRule="auto"/>
        <w:jc w:val="left"/>
      </w:pPr>
      <w:r w:rsidRPr="006F1EEC">
        <w:t>Semivolatile organic compounds (SVOC) and volatile organic compounds (VOC)</w:t>
      </w:r>
    </w:p>
    <w:p w14:paraId="52727B4B" w14:textId="77777777" w:rsidR="00945FC2" w:rsidRPr="006F1EEC" w:rsidRDefault="00945FC2" w:rsidP="00945FC2">
      <w:r w:rsidRPr="006F1EEC">
        <w:t>Additional analytes include:</w:t>
      </w:r>
    </w:p>
    <w:p w14:paraId="0CF0E017" w14:textId="23FCE281" w:rsidR="00945FC2" w:rsidRPr="006F1EEC" w:rsidRDefault="00945FC2" w:rsidP="008F2680">
      <w:pPr>
        <w:pStyle w:val="Listeafsnit"/>
        <w:numPr>
          <w:ilvl w:val="0"/>
          <w:numId w:val="8"/>
        </w:numPr>
        <w:spacing w:after="160" w:line="259" w:lineRule="auto"/>
        <w:jc w:val="left"/>
      </w:pPr>
      <w:r w:rsidRPr="006F1EEC">
        <w:t>Stable isotopes, including δ</w:t>
      </w:r>
      <w:r w:rsidRPr="0049550F">
        <w:rPr>
          <w:vertAlign w:val="superscript"/>
        </w:rPr>
        <w:t>18</w:t>
      </w:r>
      <w:r w:rsidRPr="006F1EEC">
        <w:t xml:space="preserve">O/δD, </w:t>
      </w:r>
      <w:r w:rsidRPr="0049550F">
        <w:rPr>
          <w:vertAlign w:val="superscript"/>
        </w:rPr>
        <w:t>13</w:t>
      </w:r>
      <w:r w:rsidRPr="006F1EEC">
        <w:t xml:space="preserve">C (including for Methane specifically) </w:t>
      </w:r>
      <w:r w:rsidRPr="0049550F">
        <w:rPr>
          <w:vertAlign w:val="superscript"/>
        </w:rPr>
        <w:t>34</w:t>
      </w:r>
      <w:r w:rsidRPr="006F1EEC">
        <w:t xml:space="preserve">S </w:t>
      </w:r>
    </w:p>
    <w:p w14:paraId="0FD17ECB" w14:textId="77777777" w:rsidR="00945FC2" w:rsidRPr="006F1EEC" w:rsidRDefault="00945FC2" w:rsidP="008F2680">
      <w:pPr>
        <w:pStyle w:val="Listeafsnit"/>
        <w:numPr>
          <w:ilvl w:val="0"/>
          <w:numId w:val="8"/>
        </w:numPr>
        <w:spacing w:after="160" w:line="259" w:lineRule="auto"/>
        <w:jc w:val="left"/>
      </w:pPr>
      <w:r w:rsidRPr="006F1EEC">
        <w:t>Total Petroleum Hydrocarbons (TPH)</w:t>
      </w:r>
    </w:p>
    <w:p w14:paraId="72F9DA34" w14:textId="77777777" w:rsidR="00945FC2" w:rsidRPr="006F1EEC" w:rsidRDefault="00945FC2" w:rsidP="008F2680">
      <w:pPr>
        <w:pStyle w:val="Listeafsnit"/>
        <w:numPr>
          <w:ilvl w:val="0"/>
          <w:numId w:val="8"/>
        </w:numPr>
        <w:spacing w:after="160" w:line="259" w:lineRule="auto"/>
        <w:jc w:val="left"/>
      </w:pPr>
      <w:r w:rsidRPr="006F1EEC">
        <w:t>Semi-quantitative, target based screening for “emerging contaminants”, e.g. some pesticides, plasticisers, perfluorinated compounds, pharmaceutical drugs and chlorinated solvents, identified using GC-MS and LC-MS.</w:t>
      </w:r>
    </w:p>
    <w:p w14:paraId="76350063" w14:textId="752A55F2" w:rsidR="00945FC2" w:rsidRDefault="00945FC2" w:rsidP="00945FC2">
      <w:r w:rsidRPr="006F1EEC">
        <w:t xml:space="preserve">Sampling and analysis has been ongoing since 2015, so a dataset of over three years has been collated for the monitoring points. </w:t>
      </w:r>
    </w:p>
    <w:p w14:paraId="743028B6" w14:textId="77777777" w:rsidR="00E377DA" w:rsidRPr="006F1EEC" w:rsidRDefault="00E377DA" w:rsidP="00945FC2"/>
    <w:p w14:paraId="6A5CCDC6" w14:textId="77777777" w:rsidR="00945FC2" w:rsidRPr="006F1EEC" w:rsidRDefault="00945FC2" w:rsidP="00772F42">
      <w:pPr>
        <w:pStyle w:val="Overskrift3"/>
      </w:pPr>
      <w:r w:rsidRPr="006F1EEC">
        <w:t>Other datasets</w:t>
      </w:r>
    </w:p>
    <w:p w14:paraId="054F0FDB" w14:textId="378A2E67" w:rsidR="00945FC2" w:rsidRPr="006F1EEC" w:rsidRDefault="00945FC2" w:rsidP="00945FC2">
      <w:r w:rsidRPr="006F1EEC">
        <w:t>Alongside the extensive inorganic and organic hydrogeochemical dataset collected in the Vale of Pickering as part of the ongoing monitoring programme, the British Geological Survey has access to a number of other information sources that are relevant to the region. Geological information is robust, in the form of a 3D geological model for post-Permian sequences, as described by Newell et al. (201</w:t>
      </w:r>
      <w:r w:rsidR="00F4644A">
        <w:t>5</w:t>
      </w:r>
      <w:r w:rsidRPr="006F1EEC">
        <w:t>), and interpretation of Quaternary deposits as described by Ford et al. (2015). There is also an extensive library of seismic information held by the UK Onshore Geophysical Library (UKOGL), which have provided the basis for previous geological interpretations</w:t>
      </w:r>
      <w:r w:rsidR="00302C8E">
        <w:t>.</w:t>
      </w:r>
    </w:p>
    <w:p w14:paraId="77A3559E" w14:textId="77777777" w:rsidR="00945FC2" w:rsidRPr="006F1EEC" w:rsidRDefault="00945FC2" w:rsidP="00945FC2">
      <w:pPr>
        <w:pStyle w:val="Overskrift2"/>
      </w:pPr>
      <w:bookmarkStart w:id="54" w:name="_Toc14425388"/>
      <w:r w:rsidRPr="006F1EEC">
        <w:t>Information gaps</w:t>
      </w:r>
      <w:bookmarkEnd w:id="54"/>
    </w:p>
    <w:p w14:paraId="3329FF30" w14:textId="761EA2D6" w:rsidR="00772460" w:rsidRPr="006F1EEC" w:rsidRDefault="00E24DEB" w:rsidP="00772460">
      <w:r w:rsidRPr="00E24DEB">
        <w:t>One of the main challenges for understanding subsurface pathways and processes for contamination from depth in the Vale of Pickering, is being able to define, and then relate geochemical evidence to, the subsurface structure. The 3D geological model created by Newell et al., (2015</w:t>
      </w:r>
      <w:r w:rsidR="008A0B6D">
        <w:t>)</w:t>
      </w:r>
      <w:r w:rsidRPr="00E24DEB">
        <w:t xml:space="preserve"> provides a strong basis with which to begin</w:t>
      </w:r>
      <w:r w:rsidR="00302C8E">
        <w:t xml:space="preserve"> to</w:t>
      </w:r>
      <w:r w:rsidRPr="00E24DEB">
        <w:t xml:space="preserve"> identify potential pathways and processes in the region. However, due to a lack of available information and </w:t>
      </w:r>
      <w:r w:rsidR="00302C8E">
        <w:t>an initial</w:t>
      </w:r>
      <w:r w:rsidRPr="00E24DEB">
        <w:t xml:space="preserve"> focus on the shallower</w:t>
      </w:r>
      <w:r w:rsidR="00302C8E">
        <w:t xml:space="preserve"> geological</w:t>
      </w:r>
      <w:r w:rsidRPr="00E24DEB">
        <w:t xml:space="preserve"> environment, this model was not extended below the Permian Zechstein Group evaporites. It is not clear, therefore, whether or not the identified faults in the area extend below this to the Namurian-aged hydrocarbon source rocks, or are listric (curve towards horizontal) along the relatively ductile evaporites in this unit. If the faults extend below the Zechstein, they could potentially be important contaminant pathways between the deep hydrocarbon source rocks and the shallower groundwater system.  If they are shown not to be present below the Zechstein, this unit could potentially provide an effective barrier for upward migration of any mobilised contaminants. </w:t>
      </w:r>
    </w:p>
    <w:p w14:paraId="6D2FA296" w14:textId="077994C1" w:rsidR="00772460" w:rsidRPr="006F1EEC" w:rsidRDefault="00772460" w:rsidP="00772460">
      <w:pPr>
        <w:pStyle w:val="Overskrift2"/>
      </w:pPr>
      <w:bookmarkStart w:id="55" w:name="_Toc14425389"/>
      <w:r>
        <w:t>Data collection plan</w:t>
      </w:r>
      <w:bookmarkEnd w:id="55"/>
    </w:p>
    <w:p w14:paraId="5CB3D19E" w14:textId="45938153" w:rsidR="00E24DEB" w:rsidRDefault="00E24DEB" w:rsidP="00E24DEB">
      <w:r w:rsidRPr="00E24DEB">
        <w:t>The current 3D geological model will be extended below the Namurian-aged source rocks in the Vale of Pickering, with a focus on geological structure. In order to do this, existing seismic data will be re-interpreted to better define the structure and key stratigraphic horizons, and combined with deep borehole logs in the area. The model will be built in the geological modelling software SKUA-GOCAD</w:t>
      </w:r>
      <w:r>
        <w:t xml:space="preserve"> (</w:t>
      </w:r>
      <w:r w:rsidRPr="00E24DEB">
        <w:t xml:space="preserve">https://www.pdgm.com/resource-library/brochures/skua-gocad/skua-gocad/). </w:t>
      </w:r>
    </w:p>
    <w:p w14:paraId="46D5281D" w14:textId="77777777" w:rsidR="00DD3698" w:rsidRPr="00E24DEB" w:rsidRDefault="00DD3698" w:rsidP="00E24DEB"/>
    <w:p w14:paraId="797D7F19" w14:textId="77777777" w:rsidR="00E24DEB" w:rsidRPr="00E24DEB" w:rsidRDefault="00E24DEB" w:rsidP="00E24DEB">
      <w:r w:rsidRPr="00E24DEB">
        <w:t xml:space="preserve">The extended geological model will be attributed with physical properties available from existing BGS databases such as </w:t>
      </w:r>
      <w:r w:rsidRPr="007C0849">
        <w:rPr>
          <w:i/>
        </w:rPr>
        <w:t>propbase</w:t>
      </w:r>
      <w:r w:rsidRPr="00E24DEB">
        <w:t xml:space="preserve"> and the aquifer properties database, information from borehole logs in the area and published literature. Properties will include porosity, permeability/hydraulic conductivity/transmissivity and storage. They will be collected for all geological formations and fault zones within the modelled area. In addition, head/pressures in the subsurface will be collected from borehole logs in the region and other databases, in order to understand driving forces between, and within, the deep and shallow groundwater system. </w:t>
      </w:r>
    </w:p>
    <w:p w14:paraId="5566FE3B" w14:textId="77777777" w:rsidR="00E24DEB" w:rsidRDefault="00E24DEB" w:rsidP="00E24DEB"/>
    <w:p w14:paraId="5E81E714" w14:textId="0CF60693" w:rsidR="00E24DEB" w:rsidRPr="00E24DEB" w:rsidRDefault="00E24DEB" w:rsidP="00E24DEB">
      <w:r w:rsidRPr="00E24DEB">
        <w:t xml:space="preserve">The 3D geological model and collected data will be used to inform the development of the conceptual model as the basis for contaminant transport modelling. This will take into account the hydrogeological conditions in the subsurface and identification of pathways in order to assess the potential for contaminant migration from the deep to shallow subsurface. The contaminant transport model will then be used to investigate contaminant travel times and concentrations that could be expected at particular locations in the shallow subsurface. </w:t>
      </w:r>
    </w:p>
    <w:p w14:paraId="6B340C8D" w14:textId="77777777" w:rsidR="00E24DEB" w:rsidRDefault="00E24DEB" w:rsidP="00E24DEB"/>
    <w:p w14:paraId="577D3FA3" w14:textId="60FA196C" w:rsidR="00772460" w:rsidRDefault="00E24DEB" w:rsidP="00E24DEB">
      <w:r w:rsidRPr="00E24DEB">
        <w:t>Finally, the 3D geological model, and the results from the contaminant transport model will be compared with water quality data collected from across the area as part of a BGS environmental monitoring programme (</w:t>
      </w:r>
      <w:r>
        <w:t>http://</w:t>
      </w:r>
      <w:r w:rsidRPr="00E24DEB">
        <w:t>www.bgs.ac.uk/valeofpickering).  Data from this programme include a range of inorganic and organic parameters, stable i</w:t>
      </w:r>
      <w:r>
        <w:t>sotope data, n</w:t>
      </w:r>
      <w:r w:rsidRPr="00E24DEB">
        <w:t>oble gas concentrations and residence time indicators.</w:t>
      </w:r>
    </w:p>
    <w:p w14:paraId="7AFF46D3" w14:textId="77777777" w:rsidR="00772460" w:rsidRDefault="00772460" w:rsidP="00772460"/>
    <w:p w14:paraId="6637A9D9" w14:textId="75AE22A4" w:rsidR="00945FC2" w:rsidRPr="006F1EEC" w:rsidRDefault="00945FC2" w:rsidP="00945FC2"/>
    <w:p w14:paraId="038C13E9" w14:textId="49F2E394" w:rsidR="003E3FB2" w:rsidRPr="006F1EEC" w:rsidRDefault="003E3FB2" w:rsidP="003E3FB2"/>
    <w:p w14:paraId="0611723F" w14:textId="77777777" w:rsidR="008F3CFD" w:rsidRPr="006F1EEC" w:rsidRDefault="008F3CFD" w:rsidP="003E3FB2"/>
    <w:p w14:paraId="2FE48618" w14:textId="2AB9F740" w:rsidR="003E3FB2" w:rsidRPr="006F1EEC" w:rsidRDefault="003E3FB2" w:rsidP="003E3FB2">
      <w:pPr>
        <w:pStyle w:val="Overskrift1"/>
      </w:pPr>
      <w:bookmarkStart w:id="56" w:name="_Toc527472389"/>
      <w:bookmarkStart w:id="57" w:name="_Ref535575000"/>
      <w:bookmarkStart w:id="58" w:name="_Toc14425390"/>
      <w:r w:rsidRPr="006F1EEC">
        <w:t>Pilot Peel Boundary Fault</w:t>
      </w:r>
      <w:bookmarkEnd w:id="56"/>
      <w:bookmarkEnd w:id="57"/>
      <w:r w:rsidR="007B0645" w:rsidRPr="006F1EEC">
        <w:t xml:space="preserve"> Near Veghel</w:t>
      </w:r>
      <w:bookmarkEnd w:id="58"/>
    </w:p>
    <w:p w14:paraId="6B9C03AF" w14:textId="77777777" w:rsidR="00DC02B4" w:rsidRPr="006F1EEC" w:rsidRDefault="00DC02B4" w:rsidP="003E3FB2"/>
    <w:p w14:paraId="2D3D55CB" w14:textId="1855D46F" w:rsidR="003E3FB2" w:rsidRPr="006F1EEC" w:rsidRDefault="00186468" w:rsidP="00186468">
      <w:pPr>
        <w:pStyle w:val="Overskrift2"/>
      </w:pPr>
      <w:bookmarkStart w:id="59" w:name="_Toc14425391"/>
      <w:r w:rsidRPr="006F1EEC">
        <w:t>Introduction</w:t>
      </w:r>
      <w:r w:rsidR="003E3FB2" w:rsidRPr="006F1EEC">
        <w:t xml:space="preserve"> of pilot</w:t>
      </w:r>
      <w:bookmarkEnd w:id="59"/>
    </w:p>
    <w:p w14:paraId="3B4F11B7" w14:textId="464CE6EF" w:rsidR="007B0645" w:rsidRPr="006F1EEC" w:rsidRDefault="0025180B" w:rsidP="003E3FB2">
      <w:r w:rsidRPr="006F1EEC">
        <w:t xml:space="preserve">The </w:t>
      </w:r>
      <w:r w:rsidR="007B0645" w:rsidRPr="006F1EEC">
        <w:t xml:space="preserve">Peel boundary fault is </w:t>
      </w:r>
      <w:r w:rsidRPr="006F1EEC">
        <w:t>part of a major fault system in the Netherlands separating the Peel Block and the Roer Valley Grab</w:t>
      </w:r>
      <w:r w:rsidR="001D110C" w:rsidRPr="006F1EEC">
        <w:t>en (</w:t>
      </w:r>
      <w:r w:rsidR="008F3CFD" w:rsidRPr="006F1EEC">
        <w:fldChar w:fldCharType="begin"/>
      </w:r>
      <w:r w:rsidR="008F3CFD" w:rsidRPr="006F1EEC">
        <w:instrText xml:space="preserve"> REF _Ref899200 \h </w:instrText>
      </w:r>
      <w:r w:rsidR="008F3CFD" w:rsidRPr="006F1EEC">
        <w:fldChar w:fldCharType="separate"/>
      </w:r>
      <w:r w:rsidR="00734A2A" w:rsidRPr="006F1EEC">
        <w:t xml:space="preserve">Figure </w:t>
      </w:r>
      <w:r w:rsidR="00734A2A">
        <w:rPr>
          <w:noProof/>
        </w:rPr>
        <w:t>12</w:t>
      </w:r>
      <w:r w:rsidR="008F3CFD" w:rsidRPr="006F1EEC">
        <w:fldChar w:fldCharType="end"/>
      </w:r>
      <w:r w:rsidR="00D031B6" w:rsidRPr="006F1EEC">
        <w:t xml:space="preserve">). </w:t>
      </w:r>
      <w:r w:rsidR="00F53C3C" w:rsidRPr="006F1EEC">
        <w:t xml:space="preserve">Currently, there are no deep energy-related activities near the fault, but the </w:t>
      </w:r>
      <w:r w:rsidR="007B0645" w:rsidRPr="006F1EEC">
        <w:t>groundwater abstraction Veghel of water company Brabant Water is located near</w:t>
      </w:r>
      <w:r w:rsidR="00B77EB9">
        <w:t>by</w:t>
      </w:r>
      <w:r w:rsidR="00F53C3C" w:rsidRPr="006F1EEC">
        <w:t>. The rationale for the choice of this area as pilot is that the decrease of the groundwater heads due to the pumping will induce upward transport along the fault from the deep subsurface if there is a significant hydraulic connection.</w:t>
      </w:r>
    </w:p>
    <w:p w14:paraId="617A0DC6" w14:textId="226F418B" w:rsidR="00F53C3C" w:rsidRPr="006F1EEC" w:rsidRDefault="00F53C3C" w:rsidP="003E3FB2"/>
    <w:p w14:paraId="24BCFD7A" w14:textId="77777777" w:rsidR="008F3CFD" w:rsidRPr="006F1EEC" w:rsidRDefault="00F53C3C" w:rsidP="008F3CFD">
      <w:pPr>
        <w:keepNext/>
      </w:pPr>
      <w:r w:rsidRPr="006F1EEC">
        <w:rPr>
          <w:noProof/>
          <w:lang w:eastAsia="en-GB"/>
        </w:rPr>
        <w:drawing>
          <wp:inline distT="0" distB="0" distL="0" distR="0" wp14:anchorId="5DC9F4F3" wp14:editId="70AA3F45">
            <wp:extent cx="3927420" cy="4724198"/>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jdirs\GeoERA_gw4_VoGERA\WP3\faultsNL.png"/>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3927420" cy="4724198"/>
                    </a:xfrm>
                    <a:prstGeom prst="rect">
                      <a:avLst/>
                    </a:prstGeom>
                    <a:noFill/>
                    <a:ln>
                      <a:noFill/>
                    </a:ln>
                  </pic:spPr>
                </pic:pic>
              </a:graphicData>
            </a:graphic>
          </wp:inline>
        </w:drawing>
      </w:r>
    </w:p>
    <w:p w14:paraId="631264DE" w14:textId="50FC829B" w:rsidR="007B232E" w:rsidRPr="006F1EEC" w:rsidRDefault="008F3CFD" w:rsidP="00452743">
      <w:pPr>
        <w:pStyle w:val="Billedtekst"/>
      </w:pPr>
      <w:bookmarkStart w:id="60" w:name="_Ref899200"/>
      <w:r w:rsidRPr="006F1EEC">
        <w:t xml:space="preserve">Figure </w:t>
      </w:r>
      <w:r w:rsidRPr="006F1EEC">
        <w:fldChar w:fldCharType="begin"/>
      </w:r>
      <w:r w:rsidRPr="006F1EEC">
        <w:instrText xml:space="preserve"> SEQ Figure \* ARABIC </w:instrText>
      </w:r>
      <w:r w:rsidRPr="006F1EEC">
        <w:fldChar w:fldCharType="separate"/>
      </w:r>
      <w:r w:rsidR="00734A2A">
        <w:rPr>
          <w:noProof/>
        </w:rPr>
        <w:t>12</w:t>
      </w:r>
      <w:r w:rsidRPr="006F1EEC">
        <w:fldChar w:fldCharType="end"/>
      </w:r>
      <w:bookmarkEnd w:id="60"/>
      <w:r w:rsidRPr="006F1EEC">
        <w:t xml:space="preserve"> Faults in the Netherlands with the Peel Boundary Fault as major fault in the fault system on the North</w:t>
      </w:r>
      <w:r w:rsidR="0049550F">
        <w:t>e</w:t>
      </w:r>
      <w:r w:rsidRPr="006F1EEC">
        <w:t>astern edge of the Roer Valley Graben (pilot marked with purple star)</w:t>
      </w:r>
    </w:p>
    <w:p w14:paraId="21ABDF41" w14:textId="77777777" w:rsidR="00077DF5" w:rsidRDefault="00077DF5" w:rsidP="003E3FB2"/>
    <w:p w14:paraId="3A5F2669" w14:textId="7BF28381" w:rsidR="0085487E" w:rsidRPr="006F1EEC" w:rsidRDefault="00BA2914" w:rsidP="003E3FB2">
      <w:r w:rsidRPr="006F1EEC">
        <w:t xml:space="preserve">The Veghel pilot is located on the Northwestern edge of the Roer Valley Graben, while the Belgian Rauw fault pilot is located on the opposite side of the Graben (compare </w:t>
      </w:r>
      <w:r w:rsidRPr="006F1EEC">
        <w:fldChar w:fldCharType="begin"/>
      </w:r>
      <w:r w:rsidRPr="006F1EEC">
        <w:instrText xml:space="preserve"> REF _Ref532975515 \h </w:instrText>
      </w:r>
      <w:r w:rsidRPr="006F1EEC">
        <w:fldChar w:fldCharType="separate"/>
      </w:r>
      <w:r w:rsidR="00734A2A" w:rsidRPr="006F1EEC">
        <w:t xml:space="preserve">Figure </w:t>
      </w:r>
      <w:r w:rsidR="00734A2A">
        <w:rPr>
          <w:noProof/>
        </w:rPr>
        <w:t>19</w:t>
      </w:r>
      <w:r w:rsidRPr="006F1EEC">
        <w:fldChar w:fldCharType="end"/>
      </w:r>
      <w:r w:rsidRPr="006F1EEC">
        <w:t>)</w:t>
      </w:r>
      <w:r w:rsidR="004276F2" w:rsidRPr="006F1EEC">
        <w:t>. Both pilots lie within the area of the cross boundary demonstration project H3Oplus, which is part of the GeoERA</w:t>
      </w:r>
      <w:r w:rsidR="0085487E" w:rsidRPr="006F1EEC">
        <w:t xml:space="preserve"> project Resource, also within the </w:t>
      </w:r>
      <w:r w:rsidR="004276F2" w:rsidRPr="006F1EEC">
        <w:t>Groundwater</w:t>
      </w:r>
      <w:r w:rsidR="0085487E" w:rsidRPr="006F1EEC">
        <w:t xml:space="preserve"> theme</w:t>
      </w:r>
      <w:r w:rsidRPr="006F1EEC">
        <w:t xml:space="preserve">. </w:t>
      </w:r>
    </w:p>
    <w:p w14:paraId="1573B054" w14:textId="571E7498" w:rsidR="002863F2" w:rsidRDefault="008F3CFD" w:rsidP="003E3FB2">
      <w:r w:rsidRPr="006F1EEC">
        <w:fldChar w:fldCharType="begin"/>
      </w:r>
      <w:r w:rsidRPr="006F1EEC">
        <w:instrText xml:space="preserve"> REF _Ref899261 \h </w:instrText>
      </w:r>
      <w:r w:rsidRPr="006F1EEC">
        <w:fldChar w:fldCharType="separate"/>
      </w:r>
      <w:r w:rsidR="00734A2A" w:rsidRPr="006F1EEC">
        <w:t xml:space="preserve">Figure </w:t>
      </w:r>
      <w:r w:rsidR="00734A2A">
        <w:rPr>
          <w:noProof/>
        </w:rPr>
        <w:t>13</w:t>
      </w:r>
      <w:r w:rsidRPr="006F1EEC">
        <w:fldChar w:fldCharType="end"/>
      </w:r>
      <w:r w:rsidRPr="006F1EEC">
        <w:t xml:space="preserve"> shows the </w:t>
      </w:r>
      <w:r w:rsidR="00BA2914" w:rsidRPr="006F1EEC">
        <w:t>topography in the vicinity of the Veghel</w:t>
      </w:r>
      <w:r w:rsidRPr="006F1EEC">
        <w:t xml:space="preserve"> pilot, which has c</w:t>
      </w:r>
      <w:r w:rsidR="002863F2" w:rsidRPr="006F1EEC">
        <w:t>oordinates (</w:t>
      </w:r>
      <w:r w:rsidRPr="006F1EEC">
        <w:t>with respect to the “</w:t>
      </w:r>
      <w:r w:rsidR="002863F2" w:rsidRPr="006F1EEC">
        <w:t>Amersfoort</w:t>
      </w:r>
      <w:r w:rsidRPr="006F1EEC">
        <w:t>” national Dutch coordinate system</w:t>
      </w:r>
      <w:r w:rsidR="00EB3D15" w:rsidRPr="006F1EEC">
        <w:t>)</w:t>
      </w:r>
      <w:r w:rsidR="002863F2" w:rsidRPr="006F1EEC">
        <w:t>:</w:t>
      </w:r>
      <w:r w:rsidR="00BA2914" w:rsidRPr="006F1EEC">
        <w:t xml:space="preserve"> </w:t>
      </w:r>
      <w:r w:rsidR="002863F2" w:rsidRPr="006F1EEC">
        <w:t>X from 165 000 to 175</w:t>
      </w:r>
      <w:r w:rsidR="00BA2914" w:rsidRPr="006F1EEC">
        <w:t> </w:t>
      </w:r>
      <w:r w:rsidR="002863F2" w:rsidRPr="006F1EEC">
        <w:t>000</w:t>
      </w:r>
      <w:r w:rsidR="00BA2914" w:rsidRPr="006F1EEC">
        <w:t xml:space="preserve"> and </w:t>
      </w:r>
      <w:r w:rsidR="002863F2" w:rsidRPr="006F1EEC">
        <w:t>Y from 397 000 to 409</w:t>
      </w:r>
      <w:r w:rsidR="00BA2914" w:rsidRPr="006F1EEC">
        <w:t> </w:t>
      </w:r>
      <w:r w:rsidR="002863F2" w:rsidRPr="006F1EEC">
        <w:t>000</w:t>
      </w:r>
      <w:r w:rsidR="00BA2914" w:rsidRPr="006F1EEC">
        <w:t>.</w:t>
      </w:r>
    </w:p>
    <w:p w14:paraId="466BCE33" w14:textId="77777777" w:rsidR="00077DF5" w:rsidRPr="006F1EEC" w:rsidRDefault="00077DF5" w:rsidP="003E3FB2"/>
    <w:p w14:paraId="36B92C4B" w14:textId="77777777" w:rsidR="008F3CFD" w:rsidRPr="006F1EEC" w:rsidRDefault="007B0645" w:rsidP="008F3CFD">
      <w:pPr>
        <w:keepNext/>
      </w:pPr>
      <w:r w:rsidRPr="006F1EEC">
        <w:rPr>
          <w:noProof/>
          <w:lang w:eastAsia="en-GB"/>
        </w:rPr>
        <w:drawing>
          <wp:inline distT="0" distB="0" distL="0" distR="0" wp14:anchorId="2B01DF1A" wp14:editId="45E83762">
            <wp:extent cx="5400000" cy="6470113"/>
            <wp:effectExtent l="0" t="0" r="0" b="6985"/>
            <wp:docPr id="35" name="Picture 35" descr="D:\projdirs\GeoERA\gw4_VoGERA\VeghelPilot\pilot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jdirs\GeoERA\gw4_VoGERA\VeghelPilot\pilot_map.png"/>
                    <pic:cNvPicPr>
                      <a:picLocks noChangeAspect="1" noChangeArrowheads="1"/>
                    </pic:cNvPicPr>
                  </pic:nvPicPr>
                  <pic:blipFill rotWithShape="1">
                    <a:blip r:embed="rId25">
                      <a:extLst>
                        <a:ext uri="{28A0092B-C50C-407E-A947-70E740481C1C}">
                          <a14:useLocalDpi xmlns:a14="http://schemas.microsoft.com/office/drawing/2010/main" val="0"/>
                        </a:ext>
                      </a:extLst>
                    </a:blip>
                    <a:srcRect l="7131" t="5365" r="7167" b="21992"/>
                    <a:stretch/>
                  </pic:blipFill>
                  <pic:spPr bwMode="auto">
                    <a:xfrm>
                      <a:off x="0" y="0"/>
                      <a:ext cx="5400000" cy="6470113"/>
                    </a:xfrm>
                    <a:prstGeom prst="rect">
                      <a:avLst/>
                    </a:prstGeom>
                    <a:noFill/>
                    <a:ln>
                      <a:noFill/>
                    </a:ln>
                    <a:extLst>
                      <a:ext uri="{53640926-AAD7-44D8-BBD7-CCE9431645EC}">
                        <a14:shadowObscured xmlns:a14="http://schemas.microsoft.com/office/drawing/2010/main"/>
                      </a:ext>
                    </a:extLst>
                  </pic:spPr>
                </pic:pic>
              </a:graphicData>
            </a:graphic>
          </wp:inline>
        </w:drawing>
      </w:r>
    </w:p>
    <w:p w14:paraId="08876682" w14:textId="7E103FAF" w:rsidR="007B0645" w:rsidRPr="006F1EEC" w:rsidRDefault="008F3CFD" w:rsidP="008F3CFD">
      <w:pPr>
        <w:pStyle w:val="Billedtekst"/>
      </w:pPr>
      <w:bookmarkStart w:id="61" w:name="_Ref899261"/>
      <w:r w:rsidRPr="006F1EEC">
        <w:t xml:space="preserve">Figure </w:t>
      </w:r>
      <w:r w:rsidRPr="006F1EEC">
        <w:fldChar w:fldCharType="begin"/>
      </w:r>
      <w:r w:rsidRPr="006F1EEC">
        <w:instrText xml:space="preserve"> SEQ Figure \* ARABIC </w:instrText>
      </w:r>
      <w:r w:rsidRPr="006F1EEC">
        <w:fldChar w:fldCharType="separate"/>
      </w:r>
      <w:r w:rsidR="00734A2A">
        <w:rPr>
          <w:noProof/>
        </w:rPr>
        <w:t>13</w:t>
      </w:r>
      <w:r w:rsidRPr="006F1EEC">
        <w:fldChar w:fldCharType="end"/>
      </w:r>
      <w:bookmarkEnd w:id="61"/>
      <w:r w:rsidRPr="006F1EEC">
        <w:t xml:space="preserve"> </w:t>
      </w:r>
      <w:r w:rsidR="00AB0001">
        <w:t>T</w:t>
      </w:r>
      <w:r w:rsidRPr="006F1EEC">
        <w:t>opographical map of Pilot area with faults (red lines) drinking water abstraction (blue) and its groundwater protection area (purple)</w:t>
      </w:r>
    </w:p>
    <w:p w14:paraId="47A3EB63" w14:textId="77777777" w:rsidR="007B0645" w:rsidRPr="006F1EEC" w:rsidRDefault="007B0645" w:rsidP="003E3FB2"/>
    <w:p w14:paraId="768A17A4" w14:textId="77777777" w:rsidR="007B0645" w:rsidRPr="006F1EEC" w:rsidRDefault="007B0645" w:rsidP="003E3FB2"/>
    <w:p w14:paraId="25111FFE" w14:textId="78890EE7" w:rsidR="003E3FB2" w:rsidRPr="006F1EEC" w:rsidRDefault="00186468" w:rsidP="00186468">
      <w:pPr>
        <w:pStyle w:val="Overskrift2"/>
      </w:pPr>
      <w:bookmarkStart w:id="62" w:name="_Toc14425392"/>
      <w:r w:rsidRPr="006F1EEC">
        <w:t>Available</w:t>
      </w:r>
      <w:r w:rsidR="003E3FB2" w:rsidRPr="006F1EEC">
        <w:t xml:space="preserve"> infrastructure</w:t>
      </w:r>
      <w:bookmarkEnd w:id="62"/>
    </w:p>
    <w:p w14:paraId="61A6DCC7" w14:textId="21FE267F" w:rsidR="00186468" w:rsidRPr="006F1EEC" w:rsidRDefault="004276F2" w:rsidP="003E3FB2">
      <w:r w:rsidRPr="006F1EEC">
        <w:t xml:space="preserve">In the shallow subsurface, </w:t>
      </w:r>
      <w:r w:rsidR="00AB0001">
        <w:t xml:space="preserve">there are </w:t>
      </w:r>
      <w:r w:rsidRPr="006F1EEC">
        <w:t xml:space="preserve">abstraction wells for the production of drinking water and groundwater monitoring wells, from a local dedicated monitoring network and the provincial groundwater monitoring network. Both groundwater heads and groundwater quality are monitored. </w:t>
      </w:r>
      <w:r w:rsidR="00AB0001">
        <w:t>T</w:t>
      </w:r>
      <w:r w:rsidRPr="006F1EEC">
        <w:t xml:space="preserve">he quality of the abstracted water is </w:t>
      </w:r>
      <w:r w:rsidR="00AB0001">
        <w:t xml:space="preserve">also </w:t>
      </w:r>
      <w:r w:rsidRPr="006F1EEC">
        <w:t xml:space="preserve">monitored. </w:t>
      </w:r>
      <w:r w:rsidR="00AB0001">
        <w:t xml:space="preserve">Groundwater is also </w:t>
      </w:r>
      <w:r w:rsidR="00AB0001" w:rsidRPr="006F1EEC">
        <w:t>abstract</w:t>
      </w:r>
      <w:r w:rsidR="00AB0001">
        <w:t>ed</w:t>
      </w:r>
      <w:r w:rsidR="00AB0001" w:rsidRPr="006F1EEC">
        <w:t xml:space="preserve"> for agricultural purposes</w:t>
      </w:r>
      <w:r w:rsidR="0049550F">
        <w:t xml:space="preserve"> </w:t>
      </w:r>
      <w:r w:rsidR="00AB0001">
        <w:t>i</w:t>
      </w:r>
      <w:r w:rsidRPr="006F1EEC">
        <w:t>n the area</w:t>
      </w:r>
      <w:r w:rsidR="003E3FB2" w:rsidRPr="006F1EEC">
        <w:t xml:space="preserve">. </w:t>
      </w:r>
    </w:p>
    <w:p w14:paraId="35657397" w14:textId="77777777" w:rsidR="00AB0001" w:rsidRDefault="00AB0001" w:rsidP="003E3FB2"/>
    <w:p w14:paraId="44A499E7" w14:textId="72B20192" w:rsidR="0085487E" w:rsidRPr="006F1EEC" w:rsidRDefault="0085487E" w:rsidP="003E3FB2">
      <w:r w:rsidRPr="006F1EEC">
        <w:t>Currently there are no ener</w:t>
      </w:r>
      <w:r w:rsidR="00B9071F">
        <w:t>gy-related</w:t>
      </w:r>
      <w:r w:rsidRPr="006F1EEC">
        <w:t xml:space="preserve"> activities in the subsurface. </w:t>
      </w:r>
      <w:r w:rsidR="00D0224F" w:rsidRPr="006F1EEC">
        <w:t>Within the pilot area, t</w:t>
      </w:r>
      <w:r w:rsidRPr="006F1EEC">
        <w:t xml:space="preserve">here is a single abandoned oil exploration well specified in the database of </w:t>
      </w:r>
      <w:r w:rsidR="00C456A7" w:rsidRPr="006F1EEC">
        <w:t xml:space="preserve">oil, gas and geothermal energy exploration and production in the Netherlands and the Dutch sector of the North Sea continental shelf </w:t>
      </w:r>
      <w:r w:rsidRPr="006F1EEC">
        <w:t>(</w:t>
      </w:r>
      <w:hyperlink r:id="rId26" w:history="1">
        <w:r w:rsidRPr="006F1EEC">
          <w:rPr>
            <w:rStyle w:val="Hyperlink"/>
          </w:rPr>
          <w:t>http://www.nlog.nl</w:t>
        </w:r>
      </w:hyperlink>
      <w:r w:rsidRPr="006F1EEC">
        <w:t>)</w:t>
      </w:r>
      <w:r w:rsidR="00C456A7" w:rsidRPr="006F1EEC">
        <w:t>. This well, KDK-01</w:t>
      </w:r>
      <w:r w:rsidRPr="006F1EEC">
        <w:t>,</w:t>
      </w:r>
      <w:r w:rsidR="00AB0001">
        <w:t xml:space="preserve"> </w:t>
      </w:r>
      <w:r w:rsidR="007C0849">
        <w:t>was</w:t>
      </w:r>
      <w:r w:rsidR="007C0849" w:rsidRPr="006F1EEC">
        <w:t xml:space="preserve"> drilled</w:t>
      </w:r>
      <w:r w:rsidRPr="006F1EEC">
        <w:t xml:space="preserve"> in 1992 to a depth of 2.2 kilometers</w:t>
      </w:r>
      <w:r w:rsidR="00D0224F" w:rsidRPr="006F1EEC">
        <w:t xml:space="preserve"> (</w:t>
      </w:r>
      <w:r w:rsidR="00D0224F" w:rsidRPr="006F1EEC">
        <w:fldChar w:fldCharType="begin"/>
      </w:r>
      <w:r w:rsidR="00D0224F" w:rsidRPr="006F1EEC">
        <w:instrText xml:space="preserve"> REF _Ref1111804 \h </w:instrText>
      </w:r>
      <w:r w:rsidR="00D0224F" w:rsidRPr="006F1EEC">
        <w:fldChar w:fldCharType="separate"/>
      </w:r>
      <w:r w:rsidR="00734A2A" w:rsidRPr="006F1EEC">
        <w:t xml:space="preserve">Figure </w:t>
      </w:r>
      <w:r w:rsidR="00734A2A">
        <w:rPr>
          <w:noProof/>
        </w:rPr>
        <w:t>14</w:t>
      </w:r>
      <w:r w:rsidR="00D0224F" w:rsidRPr="006F1EEC">
        <w:fldChar w:fldCharType="end"/>
      </w:r>
      <w:r w:rsidR="00D0224F" w:rsidRPr="006F1EEC">
        <w:t>)</w:t>
      </w:r>
      <w:r w:rsidRPr="006F1EEC">
        <w:t>.</w:t>
      </w:r>
      <w:r w:rsidR="00D0224F" w:rsidRPr="006F1EEC">
        <w:t xml:space="preserve"> No further activities have been employed and no</w:t>
      </w:r>
      <w:r w:rsidR="00AB0001">
        <w:t xml:space="preserve"> hydrocarbon</w:t>
      </w:r>
      <w:r w:rsidR="00D0224F" w:rsidRPr="006F1EEC">
        <w:t xml:space="preserve"> field has</w:t>
      </w:r>
      <w:r w:rsidR="0049550F">
        <w:t xml:space="preserve"> been</w:t>
      </w:r>
      <w:r w:rsidR="00D0224F" w:rsidRPr="006F1EEC">
        <w:t xml:space="preserve"> </w:t>
      </w:r>
      <w:r w:rsidR="00AB0001">
        <w:t>identified</w:t>
      </w:r>
      <w:r w:rsidR="00D0224F" w:rsidRPr="006F1EEC">
        <w:t>.</w:t>
      </w:r>
    </w:p>
    <w:p w14:paraId="3DE22FB9" w14:textId="77777777" w:rsidR="00D0224F" w:rsidRPr="006F1EEC" w:rsidRDefault="00D0224F" w:rsidP="003E3FB2"/>
    <w:p w14:paraId="0317B80B" w14:textId="77777777" w:rsidR="00D0224F" w:rsidRPr="006F1EEC" w:rsidRDefault="00D0224F" w:rsidP="00D0224F">
      <w:pPr>
        <w:keepNext/>
      </w:pPr>
      <w:r w:rsidRPr="006F1EEC">
        <w:rPr>
          <w:noProof/>
          <w:lang w:eastAsia="en-GB"/>
        </w:rPr>
        <w:drawing>
          <wp:inline distT="0" distB="0" distL="0" distR="0" wp14:anchorId="291464BA" wp14:editId="33EE50CA">
            <wp:extent cx="3950584" cy="4291866"/>
            <wp:effectExtent l="0" t="0" r="0" b="0"/>
            <wp:docPr id="13" name="Picture 13" descr="D:\projdirs\GeoERA\gw4_VoGERA\WP3\explorationWe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projdirs\GeoERA\gw4_VoGERA\WP3\explorationWell.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66583" cy="4309247"/>
                    </a:xfrm>
                    <a:prstGeom prst="rect">
                      <a:avLst/>
                    </a:prstGeom>
                    <a:noFill/>
                    <a:ln>
                      <a:noFill/>
                    </a:ln>
                  </pic:spPr>
                </pic:pic>
              </a:graphicData>
            </a:graphic>
          </wp:inline>
        </w:drawing>
      </w:r>
    </w:p>
    <w:p w14:paraId="294D9411" w14:textId="7C08467D" w:rsidR="00D0224F" w:rsidRPr="006F1EEC" w:rsidRDefault="00D0224F" w:rsidP="00D0224F">
      <w:pPr>
        <w:pStyle w:val="Billedtekst"/>
      </w:pPr>
      <w:bookmarkStart w:id="63" w:name="_Ref1111804"/>
      <w:r w:rsidRPr="006F1EEC">
        <w:t xml:space="preserve">Figure </w:t>
      </w:r>
      <w:r w:rsidRPr="006F1EEC">
        <w:fldChar w:fldCharType="begin"/>
      </w:r>
      <w:r w:rsidRPr="006F1EEC">
        <w:instrText xml:space="preserve"> SEQ Figure \* ARABIC </w:instrText>
      </w:r>
      <w:r w:rsidRPr="006F1EEC">
        <w:fldChar w:fldCharType="separate"/>
      </w:r>
      <w:r w:rsidR="00734A2A">
        <w:rPr>
          <w:noProof/>
        </w:rPr>
        <w:t>14</w:t>
      </w:r>
      <w:r w:rsidRPr="006F1EEC">
        <w:fldChar w:fldCharType="end"/>
      </w:r>
      <w:bookmarkEnd w:id="63"/>
      <w:r w:rsidRPr="006F1EEC">
        <w:t xml:space="preserve"> </w:t>
      </w:r>
      <w:r w:rsidR="00AB0001">
        <w:t>A</w:t>
      </w:r>
      <w:r w:rsidRPr="006F1EEC">
        <w:t>bandoned hydrocarbon exploration well KDK-01 located in pilot area</w:t>
      </w:r>
    </w:p>
    <w:p w14:paraId="52A27E54" w14:textId="514E0063" w:rsidR="00186468" w:rsidRPr="006F1EEC" w:rsidRDefault="00186468" w:rsidP="00186468">
      <w:pPr>
        <w:pStyle w:val="Overskrift2"/>
      </w:pPr>
      <w:bookmarkStart w:id="64" w:name="_Toc14425393"/>
      <w:r w:rsidRPr="006F1EEC">
        <w:t>Available</w:t>
      </w:r>
      <w:r w:rsidR="003E3FB2" w:rsidRPr="006F1EEC">
        <w:t xml:space="preserve"> information</w:t>
      </w:r>
      <w:bookmarkEnd w:id="64"/>
    </w:p>
    <w:p w14:paraId="641D4B80" w14:textId="0E5CEFB9" w:rsidR="00CB7E82" w:rsidRPr="006F1EEC" w:rsidRDefault="0049550F" w:rsidP="00CB7E82">
      <w:pPr>
        <w:keepNext/>
      </w:pPr>
      <w:r>
        <w:t>REGIS II is a model of the regional</w:t>
      </w:r>
      <w:r w:rsidR="007C6BB6" w:rsidRPr="006F1EEC">
        <w:t xml:space="preserve"> hydrogeology of the</w:t>
      </w:r>
      <w:r w:rsidR="00CB7E82" w:rsidRPr="006F1EEC">
        <w:t xml:space="preserve"> </w:t>
      </w:r>
      <w:r>
        <w:t xml:space="preserve">part of the </w:t>
      </w:r>
      <w:r w:rsidR="007C6BB6" w:rsidRPr="006F1EEC">
        <w:t xml:space="preserve">subsurface </w:t>
      </w:r>
      <w:r>
        <w:t xml:space="preserve">relevant for the groundwater resources </w:t>
      </w:r>
      <w:r w:rsidR="003E3FB2" w:rsidRPr="006F1EEC">
        <w:t>(</w:t>
      </w:r>
      <w:r w:rsidR="007C6BB6" w:rsidRPr="006F1EEC">
        <w:t xml:space="preserve">available at </w:t>
      </w:r>
      <w:hyperlink r:id="rId28" w:history="1">
        <w:r w:rsidR="007C6BB6" w:rsidRPr="006F1EEC">
          <w:rPr>
            <w:rStyle w:val="Hyperlink"/>
          </w:rPr>
          <w:t>http://www.dinoloket.nl</w:t>
        </w:r>
      </w:hyperlink>
      <w:r w:rsidR="007C6BB6" w:rsidRPr="006F1EEC">
        <w:t>)</w:t>
      </w:r>
      <w:r w:rsidR="00CB7E82" w:rsidRPr="006F1EEC">
        <w:t xml:space="preserve">. </w:t>
      </w:r>
      <w:r w:rsidR="00CB7E82" w:rsidRPr="006F1EEC">
        <w:fldChar w:fldCharType="begin"/>
      </w:r>
      <w:r w:rsidR="00CB7E82" w:rsidRPr="006F1EEC">
        <w:instrText xml:space="preserve"> REF _Ref1115222 \h </w:instrText>
      </w:r>
      <w:r w:rsidR="00CB7E82" w:rsidRPr="006F1EEC">
        <w:fldChar w:fldCharType="separate"/>
      </w:r>
      <w:r w:rsidR="00734A2A" w:rsidRPr="006F1EEC">
        <w:t xml:space="preserve">Figure </w:t>
      </w:r>
      <w:r w:rsidR="00734A2A">
        <w:rPr>
          <w:noProof/>
        </w:rPr>
        <w:t>15</w:t>
      </w:r>
      <w:r w:rsidR="00CB7E82" w:rsidRPr="006F1EEC">
        <w:fldChar w:fldCharType="end"/>
      </w:r>
      <w:r w:rsidR="00CB7E82" w:rsidRPr="006F1EEC">
        <w:t xml:space="preserve"> shows a cross section.</w:t>
      </w:r>
    </w:p>
    <w:p w14:paraId="27EAA25F" w14:textId="52E659C5" w:rsidR="00CB7E82" w:rsidRPr="006F1EEC" w:rsidRDefault="00CB7E82" w:rsidP="00CB7E82">
      <w:pPr>
        <w:keepNext/>
      </w:pPr>
      <w:r w:rsidRPr="006F1EEC">
        <w:t xml:space="preserve"> </w:t>
      </w:r>
    </w:p>
    <w:p w14:paraId="55A4B0CF" w14:textId="6F63D633" w:rsidR="00CB7E82" w:rsidRPr="006F1EEC" w:rsidRDefault="00CB7E82" w:rsidP="00CB7E82">
      <w:pPr>
        <w:keepNext/>
      </w:pPr>
      <w:r w:rsidRPr="006F1EEC">
        <w:rPr>
          <w:noProof/>
          <w:lang w:eastAsia="en-GB"/>
        </w:rPr>
        <w:drawing>
          <wp:inline distT="0" distB="0" distL="0" distR="0" wp14:anchorId="5E076CE1" wp14:editId="75DE1446">
            <wp:extent cx="6115685" cy="3657600"/>
            <wp:effectExtent l="0" t="0" r="0" b="0"/>
            <wp:docPr id="14" name="Picture 14" descr="D:\projdirs\GeoERA\gw4_VoGERA\VeghelPilot\REGISse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projdirs\GeoERA\gw4_VoGERA\VeghelPilot\REGISsection.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5685" cy="3657600"/>
                    </a:xfrm>
                    <a:prstGeom prst="rect">
                      <a:avLst/>
                    </a:prstGeom>
                    <a:noFill/>
                    <a:ln>
                      <a:noFill/>
                    </a:ln>
                  </pic:spPr>
                </pic:pic>
              </a:graphicData>
            </a:graphic>
          </wp:inline>
        </w:drawing>
      </w:r>
    </w:p>
    <w:p w14:paraId="042BCF41" w14:textId="1ADF7468" w:rsidR="00CB7E82" w:rsidRPr="006F1EEC" w:rsidRDefault="00CB7E82" w:rsidP="00CB7E82">
      <w:pPr>
        <w:pStyle w:val="Billedtekst"/>
      </w:pPr>
      <w:bookmarkStart w:id="65" w:name="_Ref1115222"/>
      <w:r w:rsidRPr="006F1EEC">
        <w:t xml:space="preserve">Figure </w:t>
      </w:r>
      <w:r w:rsidRPr="006F1EEC">
        <w:fldChar w:fldCharType="begin"/>
      </w:r>
      <w:r w:rsidRPr="006F1EEC">
        <w:instrText xml:space="preserve"> SEQ Figure \* ARABIC </w:instrText>
      </w:r>
      <w:r w:rsidRPr="006F1EEC">
        <w:fldChar w:fldCharType="separate"/>
      </w:r>
      <w:r w:rsidR="00734A2A">
        <w:rPr>
          <w:noProof/>
        </w:rPr>
        <w:t>15</w:t>
      </w:r>
      <w:r w:rsidRPr="006F1EEC">
        <w:fldChar w:fldCharType="end"/>
      </w:r>
      <w:bookmarkEnd w:id="65"/>
      <w:r w:rsidRPr="006F1EEC">
        <w:t xml:space="preserve"> REGIS II hydrogeological cross section</w:t>
      </w:r>
      <w:r w:rsidR="0049550F">
        <w:t xml:space="preserve"> with Formation (first 2 letters of codes) and hydrogeo</w:t>
      </w:r>
      <w:r w:rsidR="007C0849">
        <w:t>lo</w:t>
      </w:r>
      <w:r w:rsidR="0049550F">
        <w:t>gical units (‘z’ for aquifer, ‘k’ for aquitard)</w:t>
      </w:r>
    </w:p>
    <w:p w14:paraId="54B4A95B" w14:textId="77777777" w:rsidR="00CB7E82" w:rsidRPr="006F1EEC" w:rsidRDefault="00CB7E82" w:rsidP="003E3FB2"/>
    <w:p w14:paraId="53A71F9A" w14:textId="3B135B41" w:rsidR="00D40246" w:rsidRPr="006F1EEC" w:rsidRDefault="00CB7E82" w:rsidP="00D40246">
      <w:r w:rsidRPr="006F1EEC">
        <w:t xml:space="preserve">The subsurface has been modelled to a greater depth in the geological model DGMdiep (see </w:t>
      </w:r>
      <w:r w:rsidRPr="006F1EEC">
        <w:fldChar w:fldCharType="begin"/>
      </w:r>
      <w:r w:rsidRPr="006F1EEC">
        <w:instrText xml:space="preserve"> REF _Ref1115572 \h </w:instrText>
      </w:r>
      <w:r w:rsidRPr="006F1EEC">
        <w:fldChar w:fldCharType="separate"/>
      </w:r>
      <w:r w:rsidR="00734A2A" w:rsidRPr="006F1EEC">
        <w:t xml:space="preserve">Figure </w:t>
      </w:r>
      <w:r w:rsidR="00734A2A">
        <w:rPr>
          <w:noProof/>
        </w:rPr>
        <w:t>16</w:t>
      </w:r>
      <w:r w:rsidRPr="006F1EEC">
        <w:fldChar w:fldCharType="end"/>
      </w:r>
      <w:r w:rsidRPr="006F1EEC">
        <w:t>).</w:t>
      </w:r>
      <w:r w:rsidR="00D40246" w:rsidRPr="00D40246">
        <w:t xml:space="preserve"> </w:t>
      </w:r>
      <w:r w:rsidR="00D40246" w:rsidRPr="006F1EEC">
        <w:t>Some 2D seismic surveys have been carried out in the area (</w:t>
      </w:r>
      <w:r w:rsidR="00D40246">
        <w:t xml:space="preserve">see </w:t>
      </w:r>
      <w:hyperlink r:id="rId30" w:history="1">
        <w:r w:rsidR="00D40246" w:rsidRPr="00185FE6">
          <w:rPr>
            <w:rStyle w:val="Hyperlink"/>
          </w:rPr>
          <w:t>http://www.nlog.nl</w:t>
        </w:r>
      </w:hyperlink>
      <w:r w:rsidR="00D40246" w:rsidRPr="006F1EEC">
        <w:t>)</w:t>
      </w:r>
      <w:r w:rsidR="00D40246">
        <w:t xml:space="preserve"> (Figure 20)</w:t>
      </w:r>
      <w:r w:rsidR="00D40246" w:rsidRPr="006F1EEC">
        <w:t>.</w:t>
      </w:r>
    </w:p>
    <w:p w14:paraId="0C8228BD" w14:textId="706D7636" w:rsidR="00CB7E82" w:rsidRPr="006F1EEC" w:rsidRDefault="00CB7E82" w:rsidP="003E3FB2"/>
    <w:p w14:paraId="1D05258C" w14:textId="5209A136" w:rsidR="003E3FB2" w:rsidRPr="006F1EEC" w:rsidRDefault="003E3FB2" w:rsidP="003E3FB2"/>
    <w:p w14:paraId="028D9D59" w14:textId="77777777" w:rsidR="00CB7E82" w:rsidRPr="006F1EEC" w:rsidRDefault="00CB7E82" w:rsidP="00CB7E82">
      <w:pPr>
        <w:keepNext/>
      </w:pPr>
      <w:r w:rsidRPr="006F1EEC">
        <w:rPr>
          <w:noProof/>
          <w:lang w:eastAsia="en-GB"/>
        </w:rPr>
        <w:drawing>
          <wp:inline distT="0" distB="0" distL="0" distR="0" wp14:anchorId="2BB7E8D1" wp14:editId="11198409">
            <wp:extent cx="6120765" cy="4128135"/>
            <wp:effectExtent l="0" t="0" r="0" b="5715"/>
            <wp:docPr id="15" name="Picture 15" descr="D:\projdirs\GeoERA\gw4_VoGERA\VeghelPilot\DGMdiepSe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projdirs\GeoERA\gw4_VoGERA\VeghelPilot\DGMdiepSection.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765" cy="4128135"/>
                    </a:xfrm>
                    <a:prstGeom prst="rect">
                      <a:avLst/>
                    </a:prstGeom>
                    <a:noFill/>
                    <a:ln>
                      <a:noFill/>
                    </a:ln>
                  </pic:spPr>
                </pic:pic>
              </a:graphicData>
            </a:graphic>
          </wp:inline>
        </w:drawing>
      </w:r>
    </w:p>
    <w:p w14:paraId="567A8921" w14:textId="29BCD829" w:rsidR="00CB7E82" w:rsidRPr="006F1EEC" w:rsidRDefault="00CB7E82" w:rsidP="00CB7E82">
      <w:pPr>
        <w:pStyle w:val="Billedtekst"/>
      </w:pPr>
      <w:bookmarkStart w:id="66" w:name="_Ref1115572"/>
      <w:r w:rsidRPr="006F1EEC">
        <w:t xml:space="preserve">Figure </w:t>
      </w:r>
      <w:r w:rsidRPr="006F1EEC">
        <w:fldChar w:fldCharType="begin"/>
      </w:r>
      <w:r w:rsidRPr="006F1EEC">
        <w:instrText xml:space="preserve"> SEQ Figure \* ARABIC </w:instrText>
      </w:r>
      <w:r w:rsidRPr="006F1EEC">
        <w:fldChar w:fldCharType="separate"/>
      </w:r>
      <w:r w:rsidR="00734A2A">
        <w:rPr>
          <w:noProof/>
        </w:rPr>
        <w:t>16</w:t>
      </w:r>
      <w:r w:rsidRPr="006F1EEC">
        <w:fldChar w:fldCharType="end"/>
      </w:r>
      <w:bookmarkEnd w:id="66"/>
      <w:r w:rsidRPr="006F1EEC">
        <w:t xml:space="preserve"> </w:t>
      </w:r>
      <w:r w:rsidR="00D40246">
        <w:t>G</w:t>
      </w:r>
      <w:r w:rsidRPr="006F1EEC">
        <w:t>eological cross section from the deep Digital Geological Model of the Netherlands (DGMdiep)</w:t>
      </w:r>
      <w:r w:rsidR="0049550F">
        <w:t xml:space="preserve"> with geological groups (N</w:t>
      </w:r>
      <w:r w:rsidR="00E45B6F">
        <w:t xml:space="preserve"> = North</w:t>
      </w:r>
      <w:r w:rsidR="007C0849">
        <w:t xml:space="preserve"> S</w:t>
      </w:r>
      <w:r w:rsidR="00E45B6F">
        <w:t xml:space="preserve">ea, C=Chalk, ZE=Zechstein, see further </w:t>
      </w:r>
      <w:r w:rsidR="00E45B6F" w:rsidRPr="00E45B6F">
        <w:t>https://www.dinoloket.nl/nomenclature-deep</w:t>
      </w:r>
      <w:r w:rsidR="00E45B6F">
        <w:t>)</w:t>
      </w:r>
    </w:p>
    <w:p w14:paraId="432E033F" w14:textId="77777777" w:rsidR="00CB7E82" w:rsidRPr="006F1EEC" w:rsidRDefault="00CB7E82" w:rsidP="003E3FB2"/>
    <w:p w14:paraId="19BA9C16" w14:textId="77777777" w:rsidR="00CB7E82" w:rsidRPr="006F1EEC" w:rsidRDefault="00CB7E82" w:rsidP="003E3FB2"/>
    <w:p w14:paraId="17BB6C8F" w14:textId="77777777" w:rsidR="00BD3210" w:rsidRPr="006F1EEC" w:rsidRDefault="00BD3210" w:rsidP="00BD3210">
      <w:pPr>
        <w:keepNext/>
      </w:pPr>
      <w:r w:rsidRPr="006F1EEC">
        <w:rPr>
          <w:noProof/>
          <w:lang w:eastAsia="en-GB"/>
        </w:rPr>
        <w:drawing>
          <wp:inline distT="0" distB="0" distL="0" distR="0" wp14:anchorId="296C57B8" wp14:editId="1F326196">
            <wp:extent cx="6115685" cy="5174615"/>
            <wp:effectExtent l="0" t="0" r="0" b="6985"/>
            <wp:docPr id="16" name="Picture 16" descr="D:\projdirs\GeoERA\gw4_VoGERA\VeghelPilot\availableSeismi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rojdirs\GeoERA\gw4_VoGERA\VeghelPilot\availableSeismics.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15685" cy="5174615"/>
                    </a:xfrm>
                    <a:prstGeom prst="rect">
                      <a:avLst/>
                    </a:prstGeom>
                    <a:noFill/>
                    <a:ln>
                      <a:noFill/>
                    </a:ln>
                  </pic:spPr>
                </pic:pic>
              </a:graphicData>
            </a:graphic>
          </wp:inline>
        </w:drawing>
      </w:r>
    </w:p>
    <w:p w14:paraId="2C6A8CEA" w14:textId="057380F1" w:rsidR="00CB7E82" w:rsidRPr="006F1EEC" w:rsidRDefault="00BD3210" w:rsidP="00BD3210">
      <w:pPr>
        <w:pStyle w:val="Billedtekst"/>
      </w:pPr>
      <w:bookmarkStart w:id="67" w:name="_Ref14173145"/>
      <w:r w:rsidRPr="006F1EEC">
        <w:t xml:space="preserve">Figure </w:t>
      </w:r>
      <w:r w:rsidRPr="006F1EEC">
        <w:fldChar w:fldCharType="begin"/>
      </w:r>
      <w:r w:rsidRPr="006F1EEC">
        <w:instrText xml:space="preserve"> SEQ Figure \* ARABIC </w:instrText>
      </w:r>
      <w:r w:rsidRPr="006F1EEC">
        <w:fldChar w:fldCharType="separate"/>
      </w:r>
      <w:r w:rsidR="00734A2A">
        <w:rPr>
          <w:noProof/>
        </w:rPr>
        <w:t>17</w:t>
      </w:r>
      <w:r w:rsidRPr="006F1EEC">
        <w:fldChar w:fldCharType="end"/>
      </w:r>
      <w:bookmarkEnd w:id="67"/>
      <w:r w:rsidRPr="006F1EEC">
        <w:t xml:space="preserve"> </w:t>
      </w:r>
      <w:r w:rsidR="00D40246">
        <w:t>S</w:t>
      </w:r>
      <w:r w:rsidRPr="006F1EEC">
        <w:t>eismic surveys in NLOG around the Veghel pilot</w:t>
      </w:r>
    </w:p>
    <w:p w14:paraId="411CBC14" w14:textId="77777777" w:rsidR="00BD3210" w:rsidRPr="006F1EEC" w:rsidRDefault="00BD3210" w:rsidP="003E3FB2">
      <w:pPr>
        <w:rPr>
          <w:highlight w:val="yellow"/>
        </w:rPr>
      </w:pPr>
    </w:p>
    <w:p w14:paraId="592569B8" w14:textId="6E2FC180" w:rsidR="006F1EEC" w:rsidRPr="006F1EEC" w:rsidRDefault="006F1EEC" w:rsidP="003E3FB2">
      <w:r w:rsidRPr="006F1EEC">
        <w:fldChar w:fldCharType="begin"/>
      </w:r>
      <w:r w:rsidRPr="006F1EEC">
        <w:instrText xml:space="preserve"> REF _Ref1117358 \h  \* MERGEFORMAT </w:instrText>
      </w:r>
      <w:r w:rsidRPr="006F1EEC">
        <w:fldChar w:fldCharType="separate"/>
      </w:r>
      <w:r w:rsidR="00734A2A" w:rsidRPr="006F1EEC">
        <w:t xml:space="preserve">Figure </w:t>
      </w:r>
      <w:r w:rsidR="00734A2A">
        <w:t>18</w:t>
      </w:r>
      <w:r w:rsidRPr="006F1EEC">
        <w:fldChar w:fldCharType="end"/>
      </w:r>
      <w:r w:rsidRPr="006F1EEC">
        <w:t xml:space="preserve"> shows the seismic line</w:t>
      </w:r>
      <w:r w:rsidR="00D40246">
        <w:t xml:space="preserve"> crossing the strike of the Peel Boundary Fault</w:t>
      </w:r>
      <w:r w:rsidR="00E45B6F">
        <w:t xml:space="preserve"> which is indicated in </w:t>
      </w:r>
      <w:r w:rsidR="00E45B6F">
        <w:fldChar w:fldCharType="begin"/>
      </w:r>
      <w:r w:rsidR="00E45B6F">
        <w:instrText xml:space="preserve"> REF _Ref14173145 \h </w:instrText>
      </w:r>
      <w:r w:rsidR="00E45B6F">
        <w:fldChar w:fldCharType="separate"/>
      </w:r>
      <w:r w:rsidR="00734A2A" w:rsidRPr="006F1EEC">
        <w:t xml:space="preserve">Figure </w:t>
      </w:r>
      <w:r w:rsidR="00734A2A">
        <w:rPr>
          <w:noProof/>
        </w:rPr>
        <w:t>17</w:t>
      </w:r>
      <w:r w:rsidR="00E45B6F">
        <w:fldChar w:fldCharType="end"/>
      </w:r>
      <w:r w:rsidRPr="006F1EEC">
        <w:t>. It is unclear how much of the structure of the Peel Boundary Fault and its damage zone can be detected from the available seismic data.</w:t>
      </w:r>
    </w:p>
    <w:p w14:paraId="617EEDC1" w14:textId="77777777" w:rsidR="006F1EEC" w:rsidRPr="006F1EEC" w:rsidRDefault="006F1EEC" w:rsidP="006F1EEC">
      <w:pPr>
        <w:keepNext/>
      </w:pPr>
      <w:r w:rsidRPr="006F1EEC">
        <w:rPr>
          <w:noProof/>
          <w:lang w:eastAsia="en-GB"/>
        </w:rPr>
        <w:drawing>
          <wp:inline distT="0" distB="0" distL="0" distR="0" wp14:anchorId="0702755E" wp14:editId="4326A894">
            <wp:extent cx="6120130" cy="2585085"/>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130" cy="2585085"/>
                    </a:xfrm>
                    <a:prstGeom prst="rect">
                      <a:avLst/>
                    </a:prstGeom>
                  </pic:spPr>
                </pic:pic>
              </a:graphicData>
            </a:graphic>
          </wp:inline>
        </w:drawing>
      </w:r>
    </w:p>
    <w:p w14:paraId="06681A78" w14:textId="1040A31A" w:rsidR="00BD3210" w:rsidRPr="006F1EEC" w:rsidRDefault="006F1EEC" w:rsidP="006F1EEC">
      <w:pPr>
        <w:pStyle w:val="Billedtekst"/>
      </w:pPr>
      <w:bookmarkStart w:id="68" w:name="_Ref1117358"/>
      <w:r w:rsidRPr="006F1EEC">
        <w:t xml:space="preserve">Figure </w:t>
      </w:r>
      <w:r w:rsidRPr="006F1EEC">
        <w:fldChar w:fldCharType="begin"/>
      </w:r>
      <w:r w:rsidRPr="006F1EEC">
        <w:instrText xml:space="preserve"> SEQ Figure \* ARABIC </w:instrText>
      </w:r>
      <w:r w:rsidRPr="006F1EEC">
        <w:fldChar w:fldCharType="separate"/>
      </w:r>
      <w:r w:rsidR="00734A2A">
        <w:rPr>
          <w:noProof/>
        </w:rPr>
        <w:t>18</w:t>
      </w:r>
      <w:r w:rsidRPr="006F1EEC">
        <w:fldChar w:fldCharType="end"/>
      </w:r>
      <w:bookmarkEnd w:id="68"/>
      <w:r w:rsidRPr="006F1EEC">
        <w:t xml:space="preserve"> Seismic survey 8421 from NLOG</w:t>
      </w:r>
      <w:r w:rsidR="00E45B6F">
        <w:t xml:space="preserve"> (for location see </w:t>
      </w:r>
      <w:r w:rsidR="00E45B6F">
        <w:fldChar w:fldCharType="begin"/>
      </w:r>
      <w:r w:rsidR="00E45B6F">
        <w:instrText xml:space="preserve"> REF _Ref14173145 \h </w:instrText>
      </w:r>
      <w:r w:rsidR="00E45B6F">
        <w:fldChar w:fldCharType="separate"/>
      </w:r>
      <w:r w:rsidR="00734A2A" w:rsidRPr="006F1EEC">
        <w:t xml:space="preserve">Figure </w:t>
      </w:r>
      <w:r w:rsidR="00734A2A">
        <w:rPr>
          <w:noProof/>
        </w:rPr>
        <w:t>17</w:t>
      </w:r>
      <w:r w:rsidR="00E45B6F">
        <w:fldChar w:fldCharType="end"/>
      </w:r>
      <w:r w:rsidR="00E45B6F">
        <w:t>)</w:t>
      </w:r>
    </w:p>
    <w:p w14:paraId="62CC20D8" w14:textId="77777777" w:rsidR="00BD3210" w:rsidRPr="006F1EEC" w:rsidRDefault="00BD3210" w:rsidP="003E3FB2"/>
    <w:p w14:paraId="7A7A747A" w14:textId="5424E497" w:rsidR="00EB3D15" w:rsidRPr="006F1EEC" w:rsidRDefault="006F1EEC" w:rsidP="003E3FB2">
      <w:r>
        <w:t>In the shallow subsurface, the Peel Boundary Fault has a large resistance to flow across the fault. This has been mentioned in many publications (e.g. de Ridder et al., 1967; van den Berg et al., 2002).</w:t>
      </w:r>
      <w:r w:rsidR="00A0681D">
        <w:t xml:space="preserve"> Much less attention has been paid to the vertical hydraulic conductivity in the damage zone along the fault, although it has been suggested this may be an important pathway for vertical groundwater flow (Bense et al., 2003).</w:t>
      </w:r>
    </w:p>
    <w:p w14:paraId="31100E33" w14:textId="77777777" w:rsidR="009D29B5" w:rsidRPr="006F1EEC" w:rsidRDefault="009D29B5" w:rsidP="003E3FB2"/>
    <w:p w14:paraId="697E3044" w14:textId="7B0AF3AC" w:rsidR="003E3FB2" w:rsidRPr="006F1EEC" w:rsidRDefault="00186468" w:rsidP="00186468">
      <w:pPr>
        <w:pStyle w:val="Overskrift2"/>
      </w:pPr>
      <w:bookmarkStart w:id="69" w:name="_Toc14425394"/>
      <w:r w:rsidRPr="006F1EEC">
        <w:t>Information gaps</w:t>
      </w:r>
      <w:bookmarkEnd w:id="69"/>
    </w:p>
    <w:p w14:paraId="32F0BCAF" w14:textId="5D5509FC" w:rsidR="00EB3D15" w:rsidRPr="006F1EEC" w:rsidRDefault="00AC6DDD" w:rsidP="003E3FB2">
      <w:r>
        <w:t xml:space="preserve">One of the key questions for this pilot is whether or </w:t>
      </w:r>
      <w:r w:rsidR="007C0849">
        <w:t xml:space="preserve">not </w:t>
      </w:r>
      <w:r w:rsidR="007C0849" w:rsidRPr="006F1EEC">
        <w:t>drawdown</w:t>
      </w:r>
      <w:r w:rsidR="00EB3D15" w:rsidRPr="006F1EEC">
        <w:t xml:space="preserve"> </w:t>
      </w:r>
      <w:r>
        <w:t xml:space="preserve">from groundwater abstraction </w:t>
      </w:r>
      <w:r w:rsidR="00E45B6F">
        <w:t xml:space="preserve">for </w:t>
      </w:r>
      <w:r w:rsidR="00E45B6F" w:rsidRPr="006F1EEC">
        <w:t xml:space="preserve">drinking water </w:t>
      </w:r>
      <w:r>
        <w:t>causes upwelling of deep ground</w:t>
      </w:r>
      <w:r w:rsidR="00EB3D15" w:rsidRPr="006F1EEC">
        <w:t xml:space="preserve">water. </w:t>
      </w:r>
      <w:r>
        <w:t>This can be determined by identifying:</w:t>
      </w:r>
    </w:p>
    <w:p w14:paraId="671FAB00" w14:textId="77373430" w:rsidR="00EB3D15" w:rsidRPr="006F1EEC" w:rsidRDefault="00AC6DDD" w:rsidP="008F2680">
      <w:pPr>
        <w:pStyle w:val="Listeafsnit"/>
        <w:numPr>
          <w:ilvl w:val="0"/>
          <w:numId w:val="7"/>
        </w:numPr>
      </w:pPr>
      <w:r>
        <w:t>The age of groundwater present</w:t>
      </w:r>
      <w:r w:rsidR="00E45B6F">
        <w:t>;</w:t>
      </w:r>
    </w:p>
    <w:p w14:paraId="6CA8F249" w14:textId="1DFF7805" w:rsidR="00EB3D15" w:rsidRPr="006F1EEC" w:rsidRDefault="00AC6DDD" w:rsidP="008F2680">
      <w:pPr>
        <w:pStyle w:val="Listeafsnit"/>
        <w:numPr>
          <w:ilvl w:val="0"/>
          <w:numId w:val="7"/>
        </w:numPr>
      </w:pPr>
      <w:r>
        <w:t>P</w:t>
      </w:r>
      <w:r w:rsidR="00EB3D15" w:rsidRPr="006F1EEC">
        <w:t>resen</w:t>
      </w:r>
      <w:r>
        <w:t>ce of thermogenic methane</w:t>
      </w:r>
      <w:r w:rsidR="00E45B6F">
        <w:t>;</w:t>
      </w:r>
    </w:p>
    <w:p w14:paraId="5AB1B09E" w14:textId="5D4C2027" w:rsidR="00EB3D15" w:rsidRPr="006F1EEC" w:rsidRDefault="00EB3D15" w:rsidP="008F2680">
      <w:pPr>
        <w:pStyle w:val="Listeafsnit"/>
        <w:numPr>
          <w:ilvl w:val="0"/>
          <w:numId w:val="7"/>
        </w:numPr>
      </w:pPr>
      <w:r w:rsidRPr="006F1EEC">
        <w:t>Helium</w:t>
      </w:r>
      <w:r w:rsidR="001D720D">
        <w:t xml:space="preserve"> ratio</w:t>
      </w:r>
      <w:r w:rsidR="00AC6DDD">
        <w:t>,</w:t>
      </w:r>
      <w:r w:rsidR="001D720D">
        <w:t xml:space="preserve"> </w:t>
      </w:r>
      <w:r w:rsidR="001D720D" w:rsidRPr="00772F42">
        <w:rPr>
          <w:vertAlign w:val="superscript"/>
        </w:rPr>
        <w:t>3</w:t>
      </w:r>
      <w:r w:rsidR="001D720D">
        <w:t>He/</w:t>
      </w:r>
      <w:r w:rsidR="001D720D" w:rsidRPr="00772F42">
        <w:rPr>
          <w:vertAlign w:val="superscript"/>
        </w:rPr>
        <w:t>4</w:t>
      </w:r>
      <w:r w:rsidR="001D720D">
        <w:t>He</w:t>
      </w:r>
      <w:r w:rsidRPr="006F1EEC">
        <w:t xml:space="preserve"> </w:t>
      </w:r>
      <w:r w:rsidR="00AC6DDD">
        <w:t xml:space="preserve">which may indicate </w:t>
      </w:r>
      <w:r w:rsidRPr="006F1EEC">
        <w:t>a mantle connection</w:t>
      </w:r>
      <w:r w:rsidR="00E45B6F">
        <w:t>.</w:t>
      </w:r>
    </w:p>
    <w:p w14:paraId="19BB1B1C" w14:textId="74491A43" w:rsidR="00EB3D15" w:rsidRPr="006F1EEC" w:rsidRDefault="00EB3D15" w:rsidP="00EB3D15"/>
    <w:p w14:paraId="33816A1C" w14:textId="2FCC1670" w:rsidR="0091440C" w:rsidRPr="006F1EEC" w:rsidRDefault="00AC6DDD" w:rsidP="00EB3D15">
      <w:r>
        <w:t>Another key question that remains is the s</w:t>
      </w:r>
      <w:r w:rsidR="0091440C" w:rsidRPr="006F1EEC">
        <w:t xml:space="preserve">tructure of </w:t>
      </w:r>
      <w:r>
        <w:t xml:space="preserve">the </w:t>
      </w:r>
      <w:r w:rsidR="0091440C" w:rsidRPr="006F1EEC">
        <w:t>fault</w:t>
      </w:r>
      <w:r w:rsidR="003C512C">
        <w:t xml:space="preserve"> and the vertical hydraulic conductivity of the damage zone along the fault</w:t>
      </w:r>
      <w:r w:rsidR="00E45B6F">
        <w:t>.</w:t>
      </w:r>
    </w:p>
    <w:p w14:paraId="1A3E8382" w14:textId="77777777" w:rsidR="009D29B5" w:rsidRPr="006F1EEC" w:rsidRDefault="009D29B5" w:rsidP="00EB3D15"/>
    <w:p w14:paraId="290E9AB0" w14:textId="34457147" w:rsidR="003E3FB2" w:rsidRPr="006F1EEC" w:rsidRDefault="00186468" w:rsidP="00186468">
      <w:pPr>
        <w:pStyle w:val="Overskrift2"/>
      </w:pPr>
      <w:bookmarkStart w:id="70" w:name="_Toc14425395"/>
      <w:r w:rsidRPr="006F1EEC">
        <w:t>Data</w:t>
      </w:r>
      <w:r w:rsidR="003E3FB2" w:rsidRPr="006F1EEC">
        <w:t xml:space="preserve"> collection plan</w:t>
      </w:r>
      <w:bookmarkEnd w:id="70"/>
    </w:p>
    <w:p w14:paraId="18EB55C0" w14:textId="62FC3661" w:rsidR="003C512C" w:rsidRDefault="003C512C" w:rsidP="003C512C">
      <w:r>
        <w:t xml:space="preserve">Data collection </w:t>
      </w:r>
      <w:r w:rsidR="003802D5">
        <w:t xml:space="preserve">will focus on an assessment of groundwater </w:t>
      </w:r>
      <w:r>
        <w:t xml:space="preserve">quality which will </w:t>
      </w:r>
      <w:r w:rsidR="003802D5">
        <w:t>help to determine</w:t>
      </w:r>
      <w:r>
        <w:t xml:space="preserve"> existing connections between the shallow groundwater and the deep subsurface. Other information will be derived from other project</w:t>
      </w:r>
      <w:r w:rsidR="003802D5">
        <w:t>s</w:t>
      </w:r>
      <w:r>
        <w:t xml:space="preserve"> and existing data:</w:t>
      </w:r>
    </w:p>
    <w:p w14:paraId="3C1D4D07" w14:textId="08924DE7" w:rsidR="00141D9D" w:rsidRDefault="003C512C" w:rsidP="008F2680">
      <w:pPr>
        <w:pStyle w:val="Listeafsnit"/>
        <w:numPr>
          <w:ilvl w:val="0"/>
          <w:numId w:val="7"/>
        </w:numPr>
      </w:pPr>
      <w:r w:rsidRPr="00141D9D">
        <w:t xml:space="preserve">Hydraulic parametrisation of fault from </w:t>
      </w:r>
      <w:r w:rsidR="00E45B6F">
        <w:t xml:space="preserve">the </w:t>
      </w:r>
      <w:r w:rsidRPr="00141D9D">
        <w:t xml:space="preserve">cross border </w:t>
      </w:r>
      <w:r w:rsidR="006465AB">
        <w:t>harmonization project</w:t>
      </w:r>
      <w:r w:rsidRPr="00141D9D">
        <w:t xml:space="preserve"> H3O+ </w:t>
      </w:r>
      <w:r w:rsidR="006465AB">
        <w:t xml:space="preserve">which is carried out as a work package </w:t>
      </w:r>
      <w:r w:rsidRPr="00141D9D">
        <w:t>in</w:t>
      </w:r>
      <w:r w:rsidR="006465AB">
        <w:t xml:space="preserve"> the</w:t>
      </w:r>
      <w:r w:rsidRPr="00141D9D">
        <w:t xml:space="preserve"> GeoERA Groundwater project RESOURCE.</w:t>
      </w:r>
    </w:p>
    <w:p w14:paraId="61C55CF6" w14:textId="7F157A4B" w:rsidR="00141D9D" w:rsidRDefault="00141D9D" w:rsidP="008F2680">
      <w:pPr>
        <w:pStyle w:val="Listeafsnit"/>
        <w:numPr>
          <w:ilvl w:val="0"/>
          <w:numId w:val="7"/>
        </w:numPr>
      </w:pPr>
      <w:r w:rsidRPr="00141D9D">
        <w:t xml:space="preserve">The available </w:t>
      </w:r>
      <w:r w:rsidR="003C512C" w:rsidRPr="00141D9D">
        <w:t xml:space="preserve">seismic data </w:t>
      </w:r>
      <w:r w:rsidRPr="00141D9D">
        <w:t xml:space="preserve">will be evaluated </w:t>
      </w:r>
      <w:r w:rsidR="003802D5">
        <w:t xml:space="preserve">to assess </w:t>
      </w:r>
      <w:r w:rsidRPr="00141D9D">
        <w:t xml:space="preserve">whether it can provide </w:t>
      </w:r>
      <w:r w:rsidR="003C512C" w:rsidRPr="00141D9D">
        <w:t>relevant new information</w:t>
      </w:r>
      <w:r w:rsidRPr="00141D9D">
        <w:t>, possibly through reprocessing</w:t>
      </w:r>
      <w:r w:rsidR="003C512C" w:rsidRPr="00141D9D">
        <w:t>.</w:t>
      </w:r>
    </w:p>
    <w:p w14:paraId="45E5A052" w14:textId="6BB45DE0" w:rsidR="003C512C" w:rsidRPr="00141D9D" w:rsidRDefault="00141D9D" w:rsidP="008F2680">
      <w:pPr>
        <w:pStyle w:val="Listeafsnit"/>
        <w:numPr>
          <w:ilvl w:val="0"/>
          <w:numId w:val="7"/>
        </w:numPr>
      </w:pPr>
      <w:r>
        <w:t>C</w:t>
      </w:r>
      <w:r w:rsidR="003C512C" w:rsidRPr="00141D9D">
        <w:t>haracterization of faults from the information for the European Fault Database which will be developed in the GeoERA Energy project HIKE.</w:t>
      </w:r>
    </w:p>
    <w:p w14:paraId="2AE7E7BB" w14:textId="77777777" w:rsidR="003C512C" w:rsidRDefault="003C512C" w:rsidP="003E3FB2"/>
    <w:p w14:paraId="23D6AD01" w14:textId="7E20A9DA" w:rsidR="009D29B5" w:rsidRDefault="00141D9D" w:rsidP="0053705F">
      <w:r>
        <w:t>The water quality data collection can be separated in sampling the quality of the w</w:t>
      </w:r>
      <w:r w:rsidR="0091440C" w:rsidRPr="006F1EEC">
        <w:t xml:space="preserve">ater </w:t>
      </w:r>
      <w:r>
        <w:t>of the</w:t>
      </w:r>
      <w:r w:rsidR="0091440C" w:rsidRPr="006F1EEC">
        <w:t xml:space="preserve"> </w:t>
      </w:r>
      <w:r w:rsidR="009D29B5" w:rsidRPr="006F1EEC">
        <w:t>Veghel abstraction</w:t>
      </w:r>
      <w:r>
        <w:t xml:space="preserve"> and regional sampling to establish a baseline of the shallow groundwater. The Veghel water will be analysed for</w:t>
      </w:r>
      <w:r w:rsidR="0091440C" w:rsidRPr="006F1EEC">
        <w:t>:</w:t>
      </w:r>
      <w:r>
        <w:t xml:space="preserve"> </w:t>
      </w:r>
      <w:r w:rsidR="001D720D" w:rsidRPr="00D34269">
        <w:rPr>
          <w:vertAlign w:val="superscript"/>
        </w:rPr>
        <w:t>3</w:t>
      </w:r>
      <w:r w:rsidR="001D720D">
        <w:t>He/</w:t>
      </w:r>
      <w:r w:rsidR="001D720D" w:rsidRPr="00D34269">
        <w:rPr>
          <w:vertAlign w:val="superscript"/>
        </w:rPr>
        <w:t>4</w:t>
      </w:r>
      <w:r w:rsidR="0091440C" w:rsidRPr="006F1EEC">
        <w:t>He</w:t>
      </w:r>
      <w:r>
        <w:t xml:space="preserve">, </w:t>
      </w:r>
      <w:r w:rsidR="0091440C" w:rsidRPr="00157199">
        <w:rPr>
          <w:vertAlign w:val="superscript"/>
        </w:rPr>
        <w:t>39</w:t>
      </w:r>
      <w:r w:rsidR="0091440C" w:rsidRPr="006F1EEC">
        <w:t>Ar</w:t>
      </w:r>
      <w:r>
        <w:t xml:space="preserve">, </w:t>
      </w:r>
      <w:r w:rsidR="008C2738">
        <w:t>o</w:t>
      </w:r>
      <w:r w:rsidR="0091440C" w:rsidRPr="006F1EEC">
        <w:t>ther noble gases</w:t>
      </w:r>
      <w:r>
        <w:t>, and m</w:t>
      </w:r>
      <w:r w:rsidR="0091440C" w:rsidRPr="006F1EEC">
        <w:t>ethane isotopes</w:t>
      </w:r>
      <w:r>
        <w:t xml:space="preserve">. The regional baseline will be established for: </w:t>
      </w:r>
      <w:r w:rsidR="001D720D" w:rsidRPr="00D34269">
        <w:rPr>
          <w:vertAlign w:val="superscript"/>
        </w:rPr>
        <w:t>3</w:t>
      </w:r>
      <w:r w:rsidR="001D720D">
        <w:t>He/</w:t>
      </w:r>
      <w:r w:rsidR="001D720D" w:rsidRPr="00D34269">
        <w:rPr>
          <w:vertAlign w:val="superscript"/>
        </w:rPr>
        <w:t>4</w:t>
      </w:r>
      <w:r w:rsidR="009D29B5" w:rsidRPr="006F1EEC">
        <w:t>He</w:t>
      </w:r>
      <w:r>
        <w:t xml:space="preserve">, </w:t>
      </w:r>
      <w:r w:rsidR="0053705F">
        <w:t>gases, and m</w:t>
      </w:r>
      <w:r w:rsidR="009D29B5" w:rsidRPr="006F1EEC">
        <w:t>ethane isotopes</w:t>
      </w:r>
      <w:r w:rsidR="0053705F">
        <w:t>.</w:t>
      </w:r>
    </w:p>
    <w:p w14:paraId="4E32F451" w14:textId="77777777" w:rsidR="0053705F" w:rsidRPr="006F1EEC" w:rsidRDefault="0053705F" w:rsidP="0053705F"/>
    <w:p w14:paraId="32DD307B" w14:textId="77777777" w:rsidR="003E3FB2" w:rsidRPr="006F1EEC" w:rsidRDefault="003E3FB2" w:rsidP="003E3FB2">
      <w:pPr>
        <w:pStyle w:val="Overskrift1"/>
      </w:pPr>
      <w:bookmarkStart w:id="71" w:name="_Toc527472390"/>
      <w:bookmarkStart w:id="72" w:name="_Ref535575052"/>
      <w:bookmarkStart w:id="73" w:name="_Toc14425396"/>
      <w:r w:rsidRPr="006F1EEC">
        <w:t>Pilot Rauw Fault</w:t>
      </w:r>
      <w:bookmarkEnd w:id="71"/>
      <w:bookmarkEnd w:id="72"/>
      <w:bookmarkEnd w:id="73"/>
    </w:p>
    <w:p w14:paraId="6A999A8D" w14:textId="08BC29B3" w:rsidR="003E3FB2" w:rsidRPr="006F1EEC" w:rsidRDefault="003E3FB2" w:rsidP="003E3FB2"/>
    <w:p w14:paraId="115ADFB6" w14:textId="77777777" w:rsidR="000A34BE" w:rsidRPr="006F1EEC" w:rsidRDefault="000A34BE" w:rsidP="00186468">
      <w:pPr>
        <w:pStyle w:val="Overskrift2"/>
      </w:pPr>
      <w:bookmarkStart w:id="74" w:name="_Toc14425397"/>
      <w:r w:rsidRPr="006F1EEC">
        <w:t>Introduction of pilot</w:t>
      </w:r>
      <w:bookmarkEnd w:id="74"/>
    </w:p>
    <w:p w14:paraId="664512FF" w14:textId="39DEAE8E" w:rsidR="000A34BE" w:rsidRPr="006F1EEC" w:rsidRDefault="000A34BE" w:rsidP="000A34BE">
      <w:r w:rsidRPr="006F1EEC">
        <w:t>The Rauw fault is one of the westernmost border faults of the Roer Valley Graben, a tectonic structure that became more or less permanently active from the Oligocene onwards (Geluk et al., 1994). This structure runs in a S</w:t>
      </w:r>
      <w:r w:rsidR="006465AB">
        <w:t>outheast</w:t>
      </w:r>
      <w:r w:rsidRPr="006F1EEC">
        <w:t>-N</w:t>
      </w:r>
      <w:r w:rsidR="006465AB">
        <w:t>orthwest</w:t>
      </w:r>
      <w:r w:rsidRPr="006F1EEC">
        <w:t xml:space="preserve"> direction from the outcropping Rhenohercynian Massif in Germany down to the Southern North Sea Basin (</w:t>
      </w:r>
      <w:r w:rsidRPr="006F1EEC">
        <w:fldChar w:fldCharType="begin"/>
      </w:r>
      <w:r w:rsidRPr="006F1EEC">
        <w:instrText xml:space="preserve"> REF _Ref532975515 \h </w:instrText>
      </w:r>
      <w:r w:rsidRPr="006F1EEC">
        <w:fldChar w:fldCharType="separate"/>
      </w:r>
      <w:r w:rsidR="00734A2A" w:rsidRPr="006F1EEC">
        <w:t xml:space="preserve">Figure </w:t>
      </w:r>
      <w:r w:rsidR="00734A2A">
        <w:rPr>
          <w:noProof/>
        </w:rPr>
        <w:t>19</w:t>
      </w:r>
      <w:r w:rsidRPr="006F1EEC">
        <w:fldChar w:fldCharType="end"/>
      </w:r>
      <w:r w:rsidRPr="006F1EEC">
        <w:t>a). In a NW European context, the Campine Basin is a subsiding structure, sandwiched in between the Brabant Massif in the south and the Roer Valley Graben in the north-east. The Campine Basin is a potential host for several deep subsurface activities such as geological disposal of radioactive waste and mining of geothermal energy.</w:t>
      </w:r>
    </w:p>
    <w:p w14:paraId="02F69E3A" w14:textId="77777777" w:rsidR="000A34BE" w:rsidRPr="006F1EEC" w:rsidRDefault="000A34BE" w:rsidP="000A34BE">
      <w:r w:rsidRPr="006F1EEC">
        <w:rPr>
          <w:noProof/>
          <w:lang w:eastAsia="en-GB"/>
        </w:rPr>
        <w:drawing>
          <wp:inline distT="0" distB="0" distL="0" distR="0" wp14:anchorId="1489B8B1" wp14:editId="027F081D">
            <wp:extent cx="5905500" cy="240487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19029" cy="2410383"/>
                    </a:xfrm>
                    <a:prstGeom prst="rect">
                      <a:avLst/>
                    </a:prstGeom>
                    <a:noFill/>
                  </pic:spPr>
                </pic:pic>
              </a:graphicData>
            </a:graphic>
          </wp:inline>
        </w:drawing>
      </w:r>
    </w:p>
    <w:p w14:paraId="4A20C587" w14:textId="4FD0814A" w:rsidR="000A34BE" w:rsidRPr="006F1EEC" w:rsidRDefault="000A34BE" w:rsidP="000A34BE">
      <w:pPr>
        <w:pStyle w:val="Billedtekst"/>
      </w:pPr>
      <w:bookmarkStart w:id="75" w:name="_Ref532975515"/>
      <w:r w:rsidRPr="006F1EEC">
        <w:t xml:space="preserve">Figure </w:t>
      </w:r>
      <w:r w:rsidRPr="006F1EEC">
        <w:fldChar w:fldCharType="begin"/>
      </w:r>
      <w:r w:rsidRPr="006F1EEC">
        <w:instrText xml:space="preserve"> SEQ Figure \* ARABIC </w:instrText>
      </w:r>
      <w:r w:rsidRPr="006F1EEC">
        <w:fldChar w:fldCharType="separate"/>
      </w:r>
      <w:r w:rsidR="00734A2A">
        <w:rPr>
          <w:noProof/>
        </w:rPr>
        <w:t>19</w:t>
      </w:r>
      <w:r w:rsidRPr="006F1EEC">
        <w:fldChar w:fldCharType="end"/>
      </w:r>
      <w:bookmarkEnd w:id="75"/>
      <w:r w:rsidRPr="006F1EEC">
        <w:t xml:space="preserve"> – (a) Structural setting of the Rauw fault pilot site in a N</w:t>
      </w:r>
      <w:r w:rsidR="006465AB">
        <w:t>orthwestern</w:t>
      </w:r>
      <w:r w:rsidRPr="006F1EEC">
        <w:t xml:space="preserve"> European context. White rectang</w:t>
      </w:r>
      <w:r w:rsidR="007C34CC">
        <w:t>l</w:t>
      </w:r>
      <w:r w:rsidRPr="006F1EEC">
        <w:t xml:space="preserve">e refers to the area depicted in (b). Relevant references for the compilation of this figure can be found in Beerten et al. (2013). (b) Topography of the H3O-De Kempen model area (Vernes et al., 2018). Grey lines indicate faults that are visible in the base of the Boom Formation. Rauw fault is indicated by grey arrow. Thin black line is the outline of the Nete catchment. The profile line A-A’ refers to the cross-section in </w:t>
      </w:r>
      <w:r w:rsidRPr="006F1EEC">
        <w:fldChar w:fldCharType="begin"/>
      </w:r>
      <w:r w:rsidRPr="006F1EEC">
        <w:instrText xml:space="preserve"> REF _Ref532982712 \h </w:instrText>
      </w:r>
      <w:r w:rsidRPr="006F1EEC">
        <w:fldChar w:fldCharType="separate"/>
      </w:r>
      <w:r w:rsidR="00734A2A" w:rsidRPr="006F1EEC">
        <w:t xml:space="preserve">Figure </w:t>
      </w:r>
      <w:r w:rsidR="00734A2A">
        <w:rPr>
          <w:noProof/>
        </w:rPr>
        <w:t>20</w:t>
      </w:r>
      <w:r w:rsidRPr="006F1EEC">
        <w:fldChar w:fldCharType="end"/>
      </w:r>
      <w:r w:rsidRPr="006F1EEC">
        <w:t xml:space="preserve">. Circles indicate the location of major </w:t>
      </w:r>
      <w:r w:rsidR="006465AB">
        <w:t>groundwater abstraction</w:t>
      </w:r>
      <w:r w:rsidRPr="006F1EEC">
        <w:t>.</w:t>
      </w:r>
    </w:p>
    <w:p w14:paraId="67D70C48" w14:textId="77777777" w:rsidR="00077DF5" w:rsidRDefault="00077DF5" w:rsidP="000A34BE"/>
    <w:p w14:paraId="66469732" w14:textId="02BB55CB" w:rsidR="000A34BE" w:rsidRPr="006F1EEC" w:rsidRDefault="000A34BE" w:rsidP="000A34BE">
      <w:r w:rsidRPr="006F1EEC">
        <w:t xml:space="preserve">Recently, the cross-border (hydro)stratigraphy of the region has been modelled in de H3O-De Kempen project (Vernes et al., 2018). The model area is outlined in </w:t>
      </w:r>
      <w:r w:rsidRPr="006F1EEC">
        <w:fldChar w:fldCharType="begin"/>
      </w:r>
      <w:r w:rsidRPr="006F1EEC">
        <w:instrText xml:space="preserve"> REF _Ref532975515 \h </w:instrText>
      </w:r>
      <w:r w:rsidRPr="006F1EEC">
        <w:fldChar w:fldCharType="separate"/>
      </w:r>
      <w:r w:rsidR="00734A2A" w:rsidRPr="006F1EEC">
        <w:t xml:space="preserve">Figure </w:t>
      </w:r>
      <w:r w:rsidR="00734A2A">
        <w:rPr>
          <w:noProof/>
        </w:rPr>
        <w:t>19</w:t>
      </w:r>
      <w:r w:rsidRPr="006F1EEC">
        <w:fldChar w:fldCharType="end"/>
      </w:r>
      <w:r w:rsidRPr="006F1EEC">
        <w:t>b. The Rauw fault can be identified as a major fault (grey arrow), running through the entire model area. The geological cross-section (</w:t>
      </w:r>
      <w:r w:rsidRPr="006F1EEC">
        <w:fldChar w:fldCharType="begin"/>
      </w:r>
      <w:r w:rsidRPr="006F1EEC">
        <w:instrText xml:space="preserve"> REF _Ref532982712 \h </w:instrText>
      </w:r>
      <w:r w:rsidRPr="006F1EEC">
        <w:fldChar w:fldCharType="separate"/>
      </w:r>
      <w:r w:rsidR="00734A2A" w:rsidRPr="006F1EEC">
        <w:t xml:space="preserve">Figure </w:t>
      </w:r>
      <w:r w:rsidR="00734A2A">
        <w:rPr>
          <w:noProof/>
        </w:rPr>
        <w:t>20</w:t>
      </w:r>
      <w:r w:rsidRPr="006F1EEC">
        <w:fldChar w:fldCharType="end"/>
      </w:r>
      <w:r w:rsidRPr="006F1EEC">
        <w:t xml:space="preserve">) shows an offset of about 50-100 m along the fault, the eastern part being downthrown, as might be expected for a synthetic normal fault. The amount of displacement decreases towards the surface. Palaeoseismological investigations </w:t>
      </w:r>
      <w:r w:rsidR="007C34CC">
        <w:t>identified</w:t>
      </w:r>
      <w:r w:rsidRPr="006F1EEC">
        <w:t xml:space="preserve"> that the fault has not been active </w:t>
      </w:r>
      <w:r w:rsidR="007C34CC">
        <w:t>for</w:t>
      </w:r>
      <w:r w:rsidRPr="006F1EEC">
        <w:t xml:space="preserve"> the last 500 ka (Verbeeck et al., 2017). It is reaching the surface due to the fact that overlying sediment has been removed by subsequent erosion. There are several minor faults east and west of the Rauw fault. Overall, the </w:t>
      </w:r>
      <w:r w:rsidR="007C34CC">
        <w:t>geological</w:t>
      </w:r>
      <w:r w:rsidR="007C34CC" w:rsidRPr="006F1EEC">
        <w:t xml:space="preserve"> </w:t>
      </w:r>
      <w:r w:rsidRPr="006F1EEC">
        <w:t>formations dip towards the Roer Valley Graben due to tectonic tilting. Several km to the east of the Rauw fault, the water divide between the Meuse and Nete catchments marks the highest topograp</w:t>
      </w:r>
      <w:r w:rsidR="007C0849">
        <w:t>h</w:t>
      </w:r>
      <w:r w:rsidRPr="006F1EEC">
        <w:t>ical point in the profile. The water flow direction in the aquifers has a strong component towards the west</w:t>
      </w:r>
      <w:r w:rsidR="007C34CC">
        <w:t>, up-dip</w:t>
      </w:r>
      <w:r w:rsidRPr="006F1EEC">
        <w:t xml:space="preserve"> (Gedeon et al., 2007; Vandersteen et al., 2014). Modelling of both the shallow and deep aquifers has </w:t>
      </w:r>
      <w:r w:rsidR="007C34CC">
        <w:t>identified</w:t>
      </w:r>
      <w:r w:rsidRPr="006F1EEC">
        <w:t xml:space="preserve"> that there is only a very weak downward hydraulic gradient over the Boom Clay, due to the pressure gradient, as the site is located in the upper part of the Nete catchment. However, these models never treated the hydraulic role of the Rauw fault explicitly. Moreover, potential contact or decreased hydraulic resistance between the two aquifers was not considered up to now.</w:t>
      </w:r>
    </w:p>
    <w:p w14:paraId="3D235120" w14:textId="77777777" w:rsidR="000A34BE" w:rsidRPr="006F1EEC" w:rsidRDefault="000A34BE" w:rsidP="000A34BE">
      <w:r w:rsidRPr="006F1EEC">
        <w:rPr>
          <w:noProof/>
          <w:lang w:eastAsia="en-GB"/>
        </w:rPr>
        <w:drawing>
          <wp:inline distT="0" distB="0" distL="0" distR="0" wp14:anchorId="5E6701A5" wp14:editId="30B7113A">
            <wp:extent cx="5486400" cy="34480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629" r="1353" b="3495"/>
                    <a:stretch/>
                  </pic:blipFill>
                  <pic:spPr bwMode="auto">
                    <a:xfrm>
                      <a:off x="0" y="0"/>
                      <a:ext cx="5501241" cy="3457377"/>
                    </a:xfrm>
                    <a:prstGeom prst="rect">
                      <a:avLst/>
                    </a:prstGeom>
                    <a:noFill/>
                    <a:ln>
                      <a:noFill/>
                    </a:ln>
                    <a:extLst>
                      <a:ext uri="{53640926-AAD7-44D8-BBD7-CCE9431645EC}">
                        <a14:shadowObscured xmlns:a14="http://schemas.microsoft.com/office/drawing/2010/main"/>
                      </a:ext>
                    </a:extLst>
                  </pic:spPr>
                </pic:pic>
              </a:graphicData>
            </a:graphic>
          </wp:inline>
        </w:drawing>
      </w:r>
    </w:p>
    <w:p w14:paraId="0EEC0B0D" w14:textId="5C8EA058" w:rsidR="000A34BE" w:rsidRDefault="000A34BE" w:rsidP="000A34BE">
      <w:pPr>
        <w:pStyle w:val="Billedtekst"/>
      </w:pPr>
      <w:bookmarkStart w:id="76" w:name="_Ref532982712"/>
      <w:r w:rsidRPr="006F1EEC">
        <w:t xml:space="preserve">Figure </w:t>
      </w:r>
      <w:r w:rsidRPr="006F1EEC">
        <w:fldChar w:fldCharType="begin"/>
      </w:r>
      <w:r w:rsidRPr="006F1EEC">
        <w:instrText xml:space="preserve"> SEQ Figure \* ARABIC </w:instrText>
      </w:r>
      <w:r w:rsidRPr="006F1EEC">
        <w:fldChar w:fldCharType="separate"/>
      </w:r>
      <w:r w:rsidR="00734A2A">
        <w:rPr>
          <w:noProof/>
        </w:rPr>
        <w:t>20</w:t>
      </w:r>
      <w:r w:rsidRPr="006F1EEC">
        <w:fldChar w:fldCharType="end"/>
      </w:r>
      <w:bookmarkEnd w:id="76"/>
      <w:r w:rsidRPr="006F1EEC">
        <w:t xml:space="preserve"> – Geological cross-section according to profile line A-A’ in </w:t>
      </w:r>
      <w:r w:rsidRPr="006F1EEC">
        <w:fldChar w:fldCharType="begin"/>
      </w:r>
      <w:r w:rsidRPr="006F1EEC">
        <w:instrText xml:space="preserve"> REF _Ref532975515 \h </w:instrText>
      </w:r>
      <w:r w:rsidRPr="006F1EEC">
        <w:fldChar w:fldCharType="separate"/>
      </w:r>
      <w:r w:rsidR="00734A2A" w:rsidRPr="006F1EEC">
        <w:t xml:space="preserve">Figure </w:t>
      </w:r>
      <w:r w:rsidR="00734A2A">
        <w:rPr>
          <w:noProof/>
        </w:rPr>
        <w:t>19</w:t>
      </w:r>
      <w:r w:rsidRPr="006F1EEC">
        <w:fldChar w:fldCharType="end"/>
      </w:r>
      <w:r w:rsidRPr="006F1EEC">
        <w:t>b. The Rauw fault is indicated with grey arrow and thick dashed line, minor faults are indicated by thin dashed lines. Water divide between the Nete and Meuse catchment is given, as well as the direction of water flow in the aquifers, and leakage through the Boom Clay. ST = Sterksel Formation, SY = Stramproy Formation, KI = Kiezelooliet Formation, OO = Oosterhout Formation, KL = Kasterlee Formation, DI = Diest Formation, MZ = Late Oligocene to Middle Miocene sands, EG = Eigenbilzen Formation, BM = Boom Formation, OZ = Early Oligocene sands, MG = Maldegem Formation, EZ = Early to Late Eocene sands, TT = Tielt Formation, KO = Kortrijk Formation, HA = Hannut Formation, HE = Heers Formation, C+P = Cretaceous and Palaeozoic bedrock. Formations with aquitard properties are shaded in the legend.</w:t>
      </w:r>
    </w:p>
    <w:p w14:paraId="66AA2E4D" w14:textId="77777777" w:rsidR="00077DF5" w:rsidRPr="00077DF5" w:rsidRDefault="00077DF5" w:rsidP="00077DF5"/>
    <w:p w14:paraId="4B5EF422" w14:textId="77777777" w:rsidR="000A34BE" w:rsidRPr="006F1EEC" w:rsidRDefault="000A34BE" w:rsidP="00186468">
      <w:pPr>
        <w:pStyle w:val="Overskrift2"/>
      </w:pPr>
      <w:bookmarkStart w:id="77" w:name="_Toc14425398"/>
      <w:r w:rsidRPr="006F1EEC">
        <w:t>Available infrastructure</w:t>
      </w:r>
      <w:bookmarkEnd w:id="77"/>
    </w:p>
    <w:p w14:paraId="1449EBFD" w14:textId="5F765A98" w:rsidR="00127B10" w:rsidRDefault="000A34BE" w:rsidP="00077DF5">
      <w:pPr>
        <w:jc w:val="left"/>
      </w:pPr>
      <w:r w:rsidRPr="006F1EEC">
        <w:t xml:space="preserve">In the region around the Rauw fault there is limited deep subsurface activity. There is one deep geothermal well (see </w:t>
      </w:r>
      <w:r w:rsidRPr="006F1EEC">
        <w:fldChar w:fldCharType="begin"/>
      </w:r>
      <w:r w:rsidRPr="006F1EEC">
        <w:instrText xml:space="preserve"> REF _Ref532975515 \h </w:instrText>
      </w:r>
      <w:r w:rsidRPr="006F1EEC">
        <w:fldChar w:fldCharType="separate"/>
      </w:r>
      <w:r w:rsidR="00734A2A" w:rsidRPr="006F1EEC">
        <w:t xml:space="preserve">Figure </w:t>
      </w:r>
      <w:r w:rsidR="00734A2A">
        <w:rPr>
          <w:noProof/>
        </w:rPr>
        <w:t>19</w:t>
      </w:r>
      <w:r w:rsidRPr="006F1EEC">
        <w:fldChar w:fldCharType="end"/>
      </w:r>
      <w:r w:rsidRPr="006F1EEC">
        <w:t>b and</w:t>
      </w:r>
      <w:r w:rsidR="00077DF5">
        <w:t xml:space="preserve"> Table1</w:t>
      </w:r>
      <w:r w:rsidRPr="006F1EEC">
        <w:t xml:space="preserve">), and two drinking water wells. The geothermal well </w:t>
      </w:r>
      <w:r w:rsidR="00127B10">
        <w:t xml:space="preserve">reaches </w:t>
      </w:r>
      <w:r w:rsidRPr="006F1EEC">
        <w:t xml:space="preserve">the Lower Carboniferous Limestone Group at a depth of 4250 m. The two drinking water wells are pumping the Miocene aquifer, at a depth of ca. 100 and 200 m. </w:t>
      </w:r>
    </w:p>
    <w:p w14:paraId="77D161C0" w14:textId="77777777" w:rsidR="007C0849" w:rsidRPr="006F1EEC" w:rsidRDefault="007C0849" w:rsidP="000A34BE"/>
    <w:p w14:paraId="1156A547" w14:textId="77777777" w:rsidR="007C0849" w:rsidRDefault="007C0849">
      <w:pPr>
        <w:jc w:val="left"/>
        <w:rPr>
          <w:bCs/>
        </w:rPr>
      </w:pPr>
      <w:bookmarkStart w:id="78" w:name="_Ref533010650"/>
      <w:r>
        <w:br w:type="page"/>
      </w:r>
    </w:p>
    <w:p w14:paraId="6CA9F951" w14:textId="62B2A3EC" w:rsidR="000A34BE" w:rsidRPr="006F1EEC" w:rsidRDefault="000A34BE" w:rsidP="000A34BE">
      <w:pPr>
        <w:pStyle w:val="Billedtekst"/>
        <w:rPr>
          <w:rFonts w:ascii="Calibri" w:eastAsia="Calibri" w:hAnsi="Calibri"/>
        </w:rPr>
      </w:pPr>
      <w:r w:rsidRPr="006F1EEC">
        <w:t xml:space="preserve">Table </w:t>
      </w:r>
      <w:r w:rsidRPr="006F1EEC">
        <w:fldChar w:fldCharType="begin"/>
      </w:r>
      <w:r w:rsidRPr="006F1EEC">
        <w:instrText xml:space="preserve"> SEQ Table \* ARABIC </w:instrText>
      </w:r>
      <w:r w:rsidRPr="006F1EEC">
        <w:fldChar w:fldCharType="separate"/>
      </w:r>
      <w:r w:rsidR="00734A2A">
        <w:rPr>
          <w:noProof/>
        </w:rPr>
        <w:t>1</w:t>
      </w:r>
      <w:r w:rsidRPr="006F1EEC">
        <w:fldChar w:fldCharType="end"/>
      </w:r>
      <w:bookmarkEnd w:id="78"/>
      <w:r w:rsidRPr="006F1EEC">
        <w:t xml:space="preserve"> – Coordinates, depth, licensed discharge and purpose of the major wells in an area of ca. 10 km surrounding the Rauw fault pilot site.</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709"/>
        <w:gridCol w:w="644"/>
        <w:gridCol w:w="681"/>
        <w:gridCol w:w="865"/>
        <w:gridCol w:w="1070"/>
        <w:gridCol w:w="993"/>
        <w:gridCol w:w="2551"/>
      </w:tblGrid>
      <w:tr w:rsidR="000A34BE" w:rsidRPr="006F1EEC" w14:paraId="153C63C6" w14:textId="77777777" w:rsidTr="007C1B79">
        <w:trPr>
          <w:trHeight w:val="397"/>
        </w:trPr>
        <w:tc>
          <w:tcPr>
            <w:tcW w:w="1134" w:type="dxa"/>
            <w:tcBorders>
              <w:top w:val="single" w:sz="4" w:space="0" w:color="auto"/>
              <w:bottom w:val="single" w:sz="4" w:space="0" w:color="auto"/>
            </w:tcBorders>
            <w:vAlign w:val="center"/>
          </w:tcPr>
          <w:p w14:paraId="4FCE916F" w14:textId="77777777" w:rsidR="000A34BE" w:rsidRPr="006F1EEC" w:rsidRDefault="000A34BE" w:rsidP="007C1B79">
            <w:pPr>
              <w:jc w:val="center"/>
              <w:rPr>
                <w:rFonts w:ascii="Calibri" w:eastAsia="Calibri" w:hAnsi="Calibri" w:cs="Times New Roman"/>
                <w:b/>
                <w:sz w:val="14"/>
                <w:szCs w:val="14"/>
              </w:rPr>
            </w:pPr>
            <w:r w:rsidRPr="006F1EEC">
              <w:rPr>
                <w:rFonts w:ascii="Calibri" w:eastAsia="Times New Roman" w:hAnsi="Calibri" w:cs="Calibri"/>
                <w:b/>
                <w:bCs/>
                <w:color w:val="000000"/>
                <w:sz w:val="14"/>
                <w:szCs w:val="14"/>
              </w:rPr>
              <w:t>Owner</w:t>
            </w:r>
          </w:p>
        </w:tc>
        <w:tc>
          <w:tcPr>
            <w:tcW w:w="709" w:type="dxa"/>
            <w:tcBorders>
              <w:top w:val="single" w:sz="4" w:space="0" w:color="auto"/>
              <w:bottom w:val="single" w:sz="4" w:space="0" w:color="auto"/>
            </w:tcBorders>
            <w:vAlign w:val="center"/>
          </w:tcPr>
          <w:p w14:paraId="42AE36A7" w14:textId="77777777" w:rsidR="000A34BE" w:rsidRPr="006F1EEC" w:rsidRDefault="000A34BE" w:rsidP="007C1B79">
            <w:pPr>
              <w:jc w:val="center"/>
              <w:rPr>
                <w:rFonts w:ascii="Calibri" w:eastAsia="Times New Roman" w:hAnsi="Calibri" w:cs="Calibri"/>
                <w:b/>
                <w:bCs/>
                <w:color w:val="000000"/>
                <w:sz w:val="14"/>
                <w:szCs w:val="14"/>
              </w:rPr>
            </w:pPr>
            <w:r w:rsidRPr="006F1EEC">
              <w:rPr>
                <w:rFonts w:ascii="Calibri" w:eastAsia="Times New Roman" w:hAnsi="Calibri" w:cs="Calibri"/>
                <w:b/>
                <w:bCs/>
                <w:color w:val="000000"/>
                <w:sz w:val="14"/>
                <w:szCs w:val="14"/>
              </w:rPr>
              <w:t>X</w:t>
            </w:r>
            <w:r w:rsidRPr="006F1EEC">
              <w:rPr>
                <w:rFonts w:ascii="Calibri" w:eastAsia="Times New Roman" w:hAnsi="Calibri" w:cs="Calibri"/>
                <w:b/>
                <w:bCs/>
                <w:color w:val="000000"/>
                <w:sz w:val="14"/>
                <w:szCs w:val="14"/>
                <w:vertAlign w:val="superscript"/>
              </w:rPr>
              <w:t>(a)</w:t>
            </w:r>
          </w:p>
        </w:tc>
        <w:tc>
          <w:tcPr>
            <w:tcW w:w="644" w:type="dxa"/>
            <w:tcBorders>
              <w:top w:val="single" w:sz="4" w:space="0" w:color="auto"/>
              <w:bottom w:val="single" w:sz="4" w:space="0" w:color="auto"/>
            </w:tcBorders>
            <w:vAlign w:val="center"/>
          </w:tcPr>
          <w:p w14:paraId="30736AA7" w14:textId="77777777" w:rsidR="000A34BE" w:rsidRPr="006F1EEC" w:rsidRDefault="000A34BE" w:rsidP="007C1B79">
            <w:pPr>
              <w:jc w:val="center"/>
              <w:rPr>
                <w:rFonts w:ascii="Calibri" w:eastAsia="Times New Roman" w:hAnsi="Calibri" w:cs="Calibri"/>
                <w:b/>
                <w:bCs/>
                <w:color w:val="000000"/>
                <w:sz w:val="14"/>
                <w:szCs w:val="14"/>
              </w:rPr>
            </w:pPr>
            <w:r w:rsidRPr="006F1EEC">
              <w:rPr>
                <w:rFonts w:ascii="Calibri" w:eastAsia="Times New Roman" w:hAnsi="Calibri" w:cs="Calibri"/>
                <w:b/>
                <w:bCs/>
                <w:color w:val="000000"/>
                <w:sz w:val="14"/>
                <w:szCs w:val="14"/>
              </w:rPr>
              <w:t>Y</w:t>
            </w:r>
            <w:r w:rsidRPr="006F1EEC">
              <w:rPr>
                <w:rFonts w:ascii="Calibri" w:eastAsia="Times New Roman" w:hAnsi="Calibri" w:cs="Calibri"/>
                <w:b/>
                <w:bCs/>
                <w:color w:val="000000"/>
                <w:sz w:val="14"/>
                <w:szCs w:val="14"/>
                <w:vertAlign w:val="superscript"/>
              </w:rPr>
              <w:t>(a)</w:t>
            </w:r>
          </w:p>
        </w:tc>
        <w:tc>
          <w:tcPr>
            <w:tcW w:w="681" w:type="dxa"/>
            <w:tcBorders>
              <w:top w:val="single" w:sz="4" w:space="0" w:color="auto"/>
              <w:bottom w:val="single" w:sz="4" w:space="0" w:color="auto"/>
            </w:tcBorders>
            <w:vAlign w:val="center"/>
          </w:tcPr>
          <w:p w14:paraId="56CF552B" w14:textId="77777777" w:rsidR="000A34BE" w:rsidRPr="006F1EEC" w:rsidRDefault="000A34BE" w:rsidP="007C1B79">
            <w:pPr>
              <w:jc w:val="center"/>
              <w:rPr>
                <w:rFonts w:ascii="Calibri" w:eastAsia="Calibri" w:hAnsi="Calibri" w:cs="Times New Roman"/>
                <w:b/>
                <w:sz w:val="14"/>
                <w:szCs w:val="14"/>
              </w:rPr>
            </w:pPr>
            <w:r w:rsidRPr="006F1EEC">
              <w:rPr>
                <w:rFonts w:ascii="Calibri" w:eastAsia="Calibri" w:hAnsi="Calibri" w:cs="Times New Roman"/>
                <w:b/>
                <w:sz w:val="14"/>
                <w:szCs w:val="14"/>
              </w:rPr>
              <w:t>Depth</w:t>
            </w:r>
            <w:r w:rsidRPr="006F1EEC">
              <w:rPr>
                <w:rFonts w:ascii="Calibri" w:eastAsia="Times New Roman" w:hAnsi="Calibri" w:cs="Calibri"/>
                <w:b/>
                <w:bCs/>
                <w:color w:val="000000"/>
                <w:sz w:val="14"/>
                <w:szCs w:val="14"/>
                <w:vertAlign w:val="superscript"/>
              </w:rPr>
              <w:t>(b)</w:t>
            </w:r>
          </w:p>
        </w:tc>
        <w:tc>
          <w:tcPr>
            <w:tcW w:w="865" w:type="dxa"/>
            <w:tcBorders>
              <w:top w:val="single" w:sz="4" w:space="0" w:color="auto"/>
              <w:bottom w:val="single" w:sz="4" w:space="0" w:color="auto"/>
            </w:tcBorders>
            <w:vAlign w:val="center"/>
          </w:tcPr>
          <w:p w14:paraId="6B033DEB" w14:textId="77777777" w:rsidR="000A34BE" w:rsidRPr="006F1EEC" w:rsidRDefault="000A34BE" w:rsidP="007C1B79">
            <w:pPr>
              <w:jc w:val="center"/>
              <w:rPr>
                <w:rFonts w:ascii="Calibri" w:eastAsia="Calibri" w:hAnsi="Calibri" w:cs="Times New Roman"/>
                <w:b/>
                <w:sz w:val="14"/>
                <w:szCs w:val="14"/>
              </w:rPr>
            </w:pPr>
            <w:r w:rsidRPr="006F1EEC">
              <w:rPr>
                <w:rFonts w:ascii="Calibri" w:eastAsia="Calibri" w:hAnsi="Calibri" w:cs="Times New Roman"/>
                <w:b/>
                <w:sz w:val="14"/>
                <w:szCs w:val="14"/>
              </w:rPr>
              <w:t>Licensed discharge</w:t>
            </w:r>
            <w:r w:rsidRPr="006F1EEC">
              <w:rPr>
                <w:rFonts w:ascii="Calibri" w:eastAsia="Times New Roman" w:hAnsi="Calibri" w:cs="Calibri"/>
                <w:b/>
                <w:bCs/>
                <w:color w:val="000000"/>
                <w:sz w:val="14"/>
                <w:szCs w:val="14"/>
                <w:vertAlign w:val="superscript"/>
              </w:rPr>
              <w:t>(c)</w:t>
            </w:r>
          </w:p>
        </w:tc>
        <w:tc>
          <w:tcPr>
            <w:tcW w:w="1070" w:type="dxa"/>
            <w:tcBorders>
              <w:top w:val="single" w:sz="4" w:space="0" w:color="auto"/>
              <w:bottom w:val="single" w:sz="4" w:space="0" w:color="auto"/>
            </w:tcBorders>
            <w:vAlign w:val="center"/>
          </w:tcPr>
          <w:p w14:paraId="766B3E67" w14:textId="77777777" w:rsidR="000A34BE" w:rsidRPr="006F1EEC" w:rsidRDefault="000A34BE" w:rsidP="007C1B79">
            <w:pPr>
              <w:jc w:val="center"/>
              <w:rPr>
                <w:rFonts w:ascii="Calibri" w:eastAsia="Calibri" w:hAnsi="Calibri" w:cs="Times New Roman"/>
                <w:b/>
                <w:sz w:val="14"/>
                <w:szCs w:val="14"/>
              </w:rPr>
            </w:pPr>
            <w:r w:rsidRPr="006F1EEC">
              <w:rPr>
                <w:rFonts w:ascii="Calibri" w:eastAsia="Calibri" w:hAnsi="Calibri" w:cs="Times New Roman"/>
                <w:b/>
                <w:sz w:val="14"/>
                <w:szCs w:val="14"/>
              </w:rPr>
              <w:t>Purpose</w:t>
            </w:r>
          </w:p>
        </w:tc>
        <w:tc>
          <w:tcPr>
            <w:tcW w:w="993" w:type="dxa"/>
            <w:tcBorders>
              <w:top w:val="single" w:sz="4" w:space="0" w:color="auto"/>
              <w:bottom w:val="single" w:sz="4" w:space="0" w:color="auto"/>
            </w:tcBorders>
            <w:vAlign w:val="center"/>
          </w:tcPr>
          <w:p w14:paraId="0B45F420" w14:textId="77777777" w:rsidR="000A34BE" w:rsidRPr="006F1EEC" w:rsidRDefault="000A34BE" w:rsidP="007C1B79">
            <w:pPr>
              <w:jc w:val="center"/>
              <w:rPr>
                <w:rFonts w:ascii="Calibri" w:eastAsia="Calibri" w:hAnsi="Calibri" w:cs="Times New Roman"/>
                <w:b/>
                <w:sz w:val="14"/>
                <w:szCs w:val="14"/>
              </w:rPr>
            </w:pPr>
            <w:r w:rsidRPr="006F1EEC">
              <w:rPr>
                <w:rFonts w:ascii="Calibri" w:eastAsia="Calibri" w:hAnsi="Calibri" w:cs="Times New Roman"/>
                <w:b/>
                <w:sz w:val="14"/>
                <w:szCs w:val="14"/>
              </w:rPr>
              <w:t>HCOV code</w:t>
            </w:r>
          </w:p>
        </w:tc>
        <w:tc>
          <w:tcPr>
            <w:tcW w:w="2551" w:type="dxa"/>
            <w:tcBorders>
              <w:top w:val="single" w:sz="4" w:space="0" w:color="auto"/>
              <w:bottom w:val="single" w:sz="4" w:space="0" w:color="auto"/>
            </w:tcBorders>
            <w:vAlign w:val="center"/>
          </w:tcPr>
          <w:p w14:paraId="15B32919" w14:textId="77777777" w:rsidR="000A34BE" w:rsidRPr="006F1EEC" w:rsidRDefault="000A34BE" w:rsidP="007C1B79">
            <w:pPr>
              <w:jc w:val="center"/>
              <w:rPr>
                <w:rFonts w:ascii="Calibri" w:eastAsia="Calibri" w:hAnsi="Calibri" w:cs="Times New Roman"/>
                <w:b/>
                <w:sz w:val="14"/>
                <w:szCs w:val="14"/>
              </w:rPr>
            </w:pPr>
            <w:r w:rsidRPr="006F1EEC">
              <w:rPr>
                <w:rFonts w:ascii="Calibri" w:eastAsia="Calibri" w:hAnsi="Calibri" w:cs="Times New Roman"/>
                <w:b/>
                <w:sz w:val="14"/>
                <w:szCs w:val="14"/>
              </w:rPr>
              <w:t>Aquifer</w:t>
            </w:r>
          </w:p>
        </w:tc>
      </w:tr>
      <w:tr w:rsidR="000A34BE" w:rsidRPr="006F1EEC" w14:paraId="7AEA2EFD" w14:textId="77777777" w:rsidTr="007C1B79">
        <w:trPr>
          <w:trHeight w:val="340"/>
        </w:trPr>
        <w:tc>
          <w:tcPr>
            <w:tcW w:w="1134" w:type="dxa"/>
            <w:tcBorders>
              <w:top w:val="single" w:sz="4" w:space="0" w:color="auto"/>
            </w:tcBorders>
            <w:vAlign w:val="center"/>
          </w:tcPr>
          <w:p w14:paraId="48CC658A" w14:textId="77777777" w:rsidR="000A34BE" w:rsidRPr="006F1EEC" w:rsidRDefault="000A34BE" w:rsidP="007C1B79">
            <w:pPr>
              <w:jc w:val="center"/>
              <w:rPr>
                <w:rFonts w:ascii="Calibri" w:eastAsia="Calibri" w:hAnsi="Calibri" w:cs="Times New Roman"/>
                <w:sz w:val="14"/>
                <w:szCs w:val="14"/>
              </w:rPr>
            </w:pPr>
            <w:r w:rsidRPr="006F1EEC">
              <w:rPr>
                <w:rFonts w:ascii="Calibri" w:eastAsia="Calibri" w:hAnsi="Calibri" w:cs="Times New Roman"/>
                <w:sz w:val="14"/>
                <w:szCs w:val="14"/>
              </w:rPr>
              <w:t>De Watergroep</w:t>
            </w:r>
          </w:p>
        </w:tc>
        <w:tc>
          <w:tcPr>
            <w:tcW w:w="709" w:type="dxa"/>
            <w:tcBorders>
              <w:top w:val="single" w:sz="4" w:space="0" w:color="auto"/>
            </w:tcBorders>
            <w:vAlign w:val="center"/>
          </w:tcPr>
          <w:p w14:paraId="64604B54" w14:textId="77777777" w:rsidR="000A34BE" w:rsidRPr="006F1EEC" w:rsidRDefault="000A34BE" w:rsidP="007C1B79">
            <w:pPr>
              <w:jc w:val="center"/>
              <w:rPr>
                <w:rFonts w:ascii="Calibri" w:eastAsia="Calibri" w:hAnsi="Calibri" w:cs="Times New Roman"/>
                <w:sz w:val="14"/>
                <w:szCs w:val="14"/>
              </w:rPr>
            </w:pPr>
            <w:r w:rsidRPr="006F1EEC">
              <w:rPr>
                <w:rFonts w:ascii="Calibri" w:eastAsia="Calibri" w:hAnsi="Calibri" w:cs="Times New Roman"/>
                <w:sz w:val="14"/>
                <w:szCs w:val="14"/>
              </w:rPr>
              <w:t>216382</w:t>
            </w:r>
          </w:p>
        </w:tc>
        <w:tc>
          <w:tcPr>
            <w:tcW w:w="644" w:type="dxa"/>
            <w:tcBorders>
              <w:top w:val="single" w:sz="4" w:space="0" w:color="auto"/>
            </w:tcBorders>
            <w:vAlign w:val="center"/>
          </w:tcPr>
          <w:p w14:paraId="5D36BA71" w14:textId="77777777" w:rsidR="000A34BE" w:rsidRPr="006F1EEC" w:rsidRDefault="000A34BE" w:rsidP="007C1B79">
            <w:pPr>
              <w:jc w:val="center"/>
              <w:rPr>
                <w:rFonts w:ascii="Calibri" w:eastAsia="Calibri" w:hAnsi="Calibri" w:cs="Times New Roman"/>
                <w:sz w:val="14"/>
                <w:szCs w:val="14"/>
              </w:rPr>
            </w:pPr>
            <w:r w:rsidRPr="006F1EEC">
              <w:rPr>
                <w:rFonts w:ascii="Calibri" w:eastAsia="Calibri" w:hAnsi="Calibri" w:cs="Times New Roman"/>
                <w:sz w:val="14"/>
                <w:szCs w:val="14"/>
              </w:rPr>
              <w:t>215005</w:t>
            </w:r>
          </w:p>
        </w:tc>
        <w:tc>
          <w:tcPr>
            <w:tcW w:w="681" w:type="dxa"/>
            <w:tcBorders>
              <w:top w:val="single" w:sz="4" w:space="0" w:color="auto"/>
            </w:tcBorders>
            <w:vAlign w:val="center"/>
          </w:tcPr>
          <w:p w14:paraId="179B7498" w14:textId="77777777" w:rsidR="000A34BE" w:rsidRPr="006F1EEC" w:rsidRDefault="000A34BE" w:rsidP="007C1B79">
            <w:pPr>
              <w:jc w:val="center"/>
              <w:rPr>
                <w:rFonts w:ascii="Calibri" w:eastAsia="Calibri" w:hAnsi="Calibri" w:cs="Times New Roman"/>
                <w:sz w:val="14"/>
                <w:szCs w:val="14"/>
              </w:rPr>
            </w:pPr>
            <w:r w:rsidRPr="006F1EEC">
              <w:rPr>
                <w:rFonts w:ascii="Calibri" w:eastAsia="Calibri" w:hAnsi="Calibri" w:cs="Times New Roman"/>
                <w:sz w:val="14"/>
                <w:szCs w:val="14"/>
              </w:rPr>
              <w:t>202</w:t>
            </w:r>
          </w:p>
        </w:tc>
        <w:tc>
          <w:tcPr>
            <w:tcW w:w="865" w:type="dxa"/>
            <w:tcBorders>
              <w:top w:val="single" w:sz="4" w:space="0" w:color="auto"/>
            </w:tcBorders>
            <w:vAlign w:val="center"/>
          </w:tcPr>
          <w:p w14:paraId="41D4A224" w14:textId="77777777" w:rsidR="000A34BE" w:rsidRPr="006F1EEC" w:rsidRDefault="000A34BE" w:rsidP="007C1B79">
            <w:pPr>
              <w:jc w:val="center"/>
              <w:rPr>
                <w:rFonts w:ascii="Calibri" w:eastAsia="Calibri" w:hAnsi="Calibri" w:cs="Times New Roman"/>
                <w:sz w:val="14"/>
                <w:szCs w:val="14"/>
              </w:rPr>
            </w:pPr>
            <w:r w:rsidRPr="006F1EEC">
              <w:rPr>
                <w:rFonts w:ascii="Calibri" w:eastAsia="Calibri" w:hAnsi="Calibri" w:cs="Times New Roman"/>
                <w:sz w:val="14"/>
                <w:szCs w:val="14"/>
              </w:rPr>
              <w:t>8.0E+06</w:t>
            </w:r>
          </w:p>
        </w:tc>
        <w:tc>
          <w:tcPr>
            <w:tcW w:w="1070" w:type="dxa"/>
            <w:tcBorders>
              <w:top w:val="single" w:sz="4" w:space="0" w:color="auto"/>
            </w:tcBorders>
            <w:vAlign w:val="center"/>
          </w:tcPr>
          <w:p w14:paraId="155D1E64" w14:textId="77777777" w:rsidR="000A34BE" w:rsidRPr="006F1EEC" w:rsidRDefault="000A34BE" w:rsidP="007C1B79">
            <w:pPr>
              <w:jc w:val="center"/>
              <w:rPr>
                <w:rFonts w:ascii="Calibri" w:eastAsia="Calibri" w:hAnsi="Calibri" w:cs="Times New Roman"/>
                <w:sz w:val="14"/>
                <w:szCs w:val="14"/>
              </w:rPr>
            </w:pPr>
            <w:r w:rsidRPr="006F1EEC">
              <w:rPr>
                <w:rFonts w:ascii="Calibri" w:eastAsia="Calibri" w:hAnsi="Calibri" w:cs="Times New Roman"/>
                <w:sz w:val="14"/>
                <w:szCs w:val="14"/>
              </w:rPr>
              <w:t>Drinking water</w:t>
            </w:r>
          </w:p>
        </w:tc>
        <w:tc>
          <w:tcPr>
            <w:tcW w:w="993" w:type="dxa"/>
            <w:tcBorders>
              <w:top w:val="single" w:sz="4" w:space="0" w:color="auto"/>
            </w:tcBorders>
            <w:vAlign w:val="center"/>
          </w:tcPr>
          <w:p w14:paraId="3063979A" w14:textId="77777777" w:rsidR="000A34BE" w:rsidRPr="006F1EEC" w:rsidRDefault="000A34BE" w:rsidP="007C1B79">
            <w:pPr>
              <w:jc w:val="center"/>
              <w:rPr>
                <w:rFonts w:ascii="Calibri" w:eastAsia="Calibri" w:hAnsi="Calibri" w:cs="Times New Roman"/>
                <w:sz w:val="14"/>
                <w:szCs w:val="14"/>
              </w:rPr>
            </w:pPr>
            <w:r w:rsidRPr="006F1EEC">
              <w:rPr>
                <w:rFonts w:ascii="Calibri" w:eastAsia="Calibri" w:hAnsi="Calibri" w:cs="Times New Roman"/>
                <w:sz w:val="14"/>
                <w:szCs w:val="14"/>
              </w:rPr>
              <w:t>0252</w:t>
            </w:r>
          </w:p>
        </w:tc>
        <w:tc>
          <w:tcPr>
            <w:tcW w:w="2551" w:type="dxa"/>
            <w:tcBorders>
              <w:top w:val="single" w:sz="4" w:space="0" w:color="auto"/>
            </w:tcBorders>
            <w:vAlign w:val="center"/>
          </w:tcPr>
          <w:p w14:paraId="77BBCE67" w14:textId="77777777" w:rsidR="000A34BE" w:rsidRPr="006F1EEC" w:rsidRDefault="000A34BE" w:rsidP="007C1B79">
            <w:pPr>
              <w:jc w:val="center"/>
              <w:rPr>
                <w:rFonts w:ascii="Calibri" w:eastAsia="Calibri" w:hAnsi="Calibri" w:cs="Times New Roman"/>
                <w:sz w:val="14"/>
                <w:szCs w:val="14"/>
              </w:rPr>
            </w:pPr>
            <w:r w:rsidRPr="006F1EEC">
              <w:rPr>
                <w:rFonts w:ascii="Calibri" w:eastAsia="Calibri" w:hAnsi="Calibri" w:cs="Times New Roman"/>
                <w:sz w:val="14"/>
                <w:szCs w:val="14"/>
              </w:rPr>
              <w:t>Diest Formation</w:t>
            </w:r>
          </w:p>
        </w:tc>
      </w:tr>
      <w:tr w:rsidR="000A34BE" w:rsidRPr="006F1EEC" w14:paraId="7E0F21EC" w14:textId="77777777" w:rsidTr="007C1B79">
        <w:trPr>
          <w:trHeight w:val="340"/>
        </w:trPr>
        <w:tc>
          <w:tcPr>
            <w:tcW w:w="1134" w:type="dxa"/>
            <w:vAlign w:val="center"/>
          </w:tcPr>
          <w:p w14:paraId="05199D92" w14:textId="77777777" w:rsidR="000A34BE" w:rsidRPr="006F1EEC" w:rsidRDefault="000A34BE" w:rsidP="007C1B79">
            <w:pPr>
              <w:jc w:val="center"/>
              <w:rPr>
                <w:rFonts w:ascii="Calibri" w:eastAsia="Calibri" w:hAnsi="Calibri" w:cs="Times New Roman"/>
                <w:sz w:val="14"/>
                <w:szCs w:val="14"/>
              </w:rPr>
            </w:pPr>
            <w:r w:rsidRPr="006F1EEC">
              <w:rPr>
                <w:rFonts w:ascii="Calibri" w:eastAsia="Calibri" w:hAnsi="Calibri" w:cs="Times New Roman"/>
                <w:sz w:val="14"/>
                <w:szCs w:val="14"/>
              </w:rPr>
              <w:t>PIDPA</w:t>
            </w:r>
          </w:p>
        </w:tc>
        <w:tc>
          <w:tcPr>
            <w:tcW w:w="709" w:type="dxa"/>
            <w:vAlign w:val="center"/>
          </w:tcPr>
          <w:p w14:paraId="42BE8EAE" w14:textId="77777777" w:rsidR="000A34BE" w:rsidRPr="006F1EEC" w:rsidRDefault="000A34BE" w:rsidP="007C1B79">
            <w:pPr>
              <w:jc w:val="center"/>
              <w:rPr>
                <w:rFonts w:ascii="Calibri" w:eastAsia="Calibri" w:hAnsi="Calibri" w:cs="Times New Roman"/>
                <w:sz w:val="14"/>
                <w:szCs w:val="14"/>
              </w:rPr>
            </w:pPr>
            <w:r w:rsidRPr="006F1EEC">
              <w:rPr>
                <w:rFonts w:ascii="Calibri" w:eastAsia="Calibri" w:hAnsi="Calibri" w:cs="Times New Roman"/>
                <w:sz w:val="14"/>
                <w:szCs w:val="14"/>
              </w:rPr>
              <w:t>204400</w:t>
            </w:r>
          </w:p>
        </w:tc>
        <w:tc>
          <w:tcPr>
            <w:tcW w:w="644" w:type="dxa"/>
            <w:vAlign w:val="center"/>
          </w:tcPr>
          <w:p w14:paraId="23747C3C" w14:textId="77777777" w:rsidR="000A34BE" w:rsidRPr="006F1EEC" w:rsidRDefault="000A34BE" w:rsidP="007C1B79">
            <w:pPr>
              <w:jc w:val="center"/>
              <w:rPr>
                <w:rFonts w:ascii="Calibri" w:eastAsia="Calibri" w:hAnsi="Calibri" w:cs="Times New Roman"/>
                <w:sz w:val="14"/>
                <w:szCs w:val="14"/>
              </w:rPr>
            </w:pPr>
            <w:r w:rsidRPr="006F1EEC">
              <w:rPr>
                <w:rFonts w:ascii="Calibri" w:eastAsia="Calibri" w:hAnsi="Calibri" w:cs="Times New Roman"/>
                <w:sz w:val="14"/>
                <w:szCs w:val="14"/>
              </w:rPr>
              <w:t>212459</w:t>
            </w:r>
          </w:p>
        </w:tc>
        <w:tc>
          <w:tcPr>
            <w:tcW w:w="681" w:type="dxa"/>
            <w:vAlign w:val="center"/>
          </w:tcPr>
          <w:p w14:paraId="46CEC72A" w14:textId="77777777" w:rsidR="000A34BE" w:rsidRPr="006F1EEC" w:rsidRDefault="000A34BE" w:rsidP="007C1B79">
            <w:pPr>
              <w:jc w:val="center"/>
              <w:rPr>
                <w:rFonts w:ascii="Calibri" w:eastAsia="Calibri" w:hAnsi="Calibri" w:cs="Times New Roman"/>
                <w:sz w:val="14"/>
                <w:szCs w:val="14"/>
              </w:rPr>
            </w:pPr>
            <w:r w:rsidRPr="006F1EEC">
              <w:rPr>
                <w:rFonts w:ascii="Calibri" w:eastAsia="Calibri" w:hAnsi="Calibri" w:cs="Times New Roman"/>
                <w:sz w:val="14"/>
                <w:szCs w:val="14"/>
              </w:rPr>
              <w:t>124</w:t>
            </w:r>
          </w:p>
        </w:tc>
        <w:tc>
          <w:tcPr>
            <w:tcW w:w="865" w:type="dxa"/>
            <w:vAlign w:val="center"/>
          </w:tcPr>
          <w:p w14:paraId="05BB6709" w14:textId="77777777" w:rsidR="000A34BE" w:rsidRPr="006F1EEC" w:rsidRDefault="000A34BE" w:rsidP="007C1B79">
            <w:pPr>
              <w:jc w:val="center"/>
              <w:rPr>
                <w:rFonts w:ascii="Calibri" w:eastAsia="Calibri" w:hAnsi="Calibri" w:cs="Times New Roman"/>
                <w:sz w:val="14"/>
                <w:szCs w:val="14"/>
              </w:rPr>
            </w:pPr>
            <w:r w:rsidRPr="006F1EEC">
              <w:rPr>
                <w:rFonts w:ascii="Calibri" w:eastAsia="Calibri" w:hAnsi="Calibri" w:cs="Times New Roman"/>
                <w:sz w:val="14"/>
                <w:szCs w:val="14"/>
              </w:rPr>
              <w:t>3.65E+06</w:t>
            </w:r>
          </w:p>
        </w:tc>
        <w:tc>
          <w:tcPr>
            <w:tcW w:w="1070" w:type="dxa"/>
            <w:vAlign w:val="center"/>
          </w:tcPr>
          <w:p w14:paraId="016C7068" w14:textId="77777777" w:rsidR="000A34BE" w:rsidRPr="006F1EEC" w:rsidRDefault="000A34BE" w:rsidP="007C1B79">
            <w:pPr>
              <w:jc w:val="center"/>
              <w:rPr>
                <w:rFonts w:ascii="Calibri" w:eastAsia="Calibri" w:hAnsi="Calibri" w:cs="Times New Roman"/>
                <w:sz w:val="14"/>
                <w:szCs w:val="14"/>
              </w:rPr>
            </w:pPr>
            <w:r w:rsidRPr="006F1EEC">
              <w:rPr>
                <w:rFonts w:ascii="Calibri" w:eastAsia="Calibri" w:hAnsi="Calibri" w:cs="Times New Roman"/>
                <w:sz w:val="14"/>
                <w:szCs w:val="14"/>
              </w:rPr>
              <w:t>Drinking water</w:t>
            </w:r>
          </w:p>
        </w:tc>
        <w:tc>
          <w:tcPr>
            <w:tcW w:w="993" w:type="dxa"/>
            <w:vAlign w:val="center"/>
          </w:tcPr>
          <w:p w14:paraId="3820F8BC" w14:textId="77777777" w:rsidR="000A34BE" w:rsidRPr="006F1EEC" w:rsidRDefault="000A34BE" w:rsidP="007C1B79">
            <w:pPr>
              <w:jc w:val="center"/>
              <w:rPr>
                <w:rFonts w:ascii="Calibri" w:eastAsia="Calibri" w:hAnsi="Calibri" w:cs="Times New Roman"/>
                <w:sz w:val="14"/>
                <w:szCs w:val="14"/>
              </w:rPr>
            </w:pPr>
            <w:r w:rsidRPr="006F1EEC">
              <w:rPr>
                <w:rFonts w:ascii="Calibri" w:eastAsia="Calibri" w:hAnsi="Calibri" w:cs="Times New Roman"/>
                <w:sz w:val="14"/>
                <w:szCs w:val="14"/>
              </w:rPr>
              <w:t>0250</w:t>
            </w:r>
          </w:p>
        </w:tc>
        <w:tc>
          <w:tcPr>
            <w:tcW w:w="2551" w:type="dxa"/>
            <w:vAlign w:val="center"/>
          </w:tcPr>
          <w:p w14:paraId="63F30B8E" w14:textId="77777777" w:rsidR="000A34BE" w:rsidRPr="006F1EEC" w:rsidRDefault="000A34BE" w:rsidP="007C1B79">
            <w:pPr>
              <w:jc w:val="center"/>
              <w:rPr>
                <w:rFonts w:ascii="Calibri" w:eastAsia="Calibri" w:hAnsi="Calibri" w:cs="Times New Roman"/>
                <w:sz w:val="14"/>
                <w:szCs w:val="14"/>
              </w:rPr>
            </w:pPr>
            <w:r w:rsidRPr="006F1EEC">
              <w:rPr>
                <w:rFonts w:ascii="Calibri" w:eastAsia="Calibri" w:hAnsi="Calibri" w:cs="Times New Roman"/>
                <w:sz w:val="14"/>
                <w:szCs w:val="14"/>
              </w:rPr>
              <w:t>Miocene aquifer system</w:t>
            </w:r>
          </w:p>
        </w:tc>
      </w:tr>
      <w:tr w:rsidR="000A34BE" w:rsidRPr="006F1EEC" w14:paraId="157C3555" w14:textId="77777777" w:rsidTr="007C1B79">
        <w:trPr>
          <w:trHeight w:val="340"/>
        </w:trPr>
        <w:tc>
          <w:tcPr>
            <w:tcW w:w="1134" w:type="dxa"/>
            <w:tcBorders>
              <w:bottom w:val="single" w:sz="4" w:space="0" w:color="auto"/>
            </w:tcBorders>
            <w:vAlign w:val="center"/>
          </w:tcPr>
          <w:p w14:paraId="259544AF" w14:textId="77777777" w:rsidR="000A34BE" w:rsidRPr="006F1EEC" w:rsidRDefault="000A34BE" w:rsidP="007C1B79">
            <w:pPr>
              <w:jc w:val="center"/>
              <w:rPr>
                <w:rFonts w:ascii="Calibri" w:eastAsia="Calibri" w:hAnsi="Calibri" w:cs="Times New Roman"/>
                <w:sz w:val="14"/>
                <w:szCs w:val="14"/>
              </w:rPr>
            </w:pPr>
            <w:r w:rsidRPr="006F1EEC">
              <w:rPr>
                <w:rFonts w:ascii="Calibri" w:eastAsia="Calibri" w:hAnsi="Calibri" w:cs="Times New Roman"/>
                <w:sz w:val="14"/>
                <w:szCs w:val="14"/>
              </w:rPr>
              <w:t>VITO</w:t>
            </w:r>
          </w:p>
        </w:tc>
        <w:tc>
          <w:tcPr>
            <w:tcW w:w="709" w:type="dxa"/>
            <w:tcBorders>
              <w:bottom w:val="single" w:sz="4" w:space="0" w:color="auto"/>
            </w:tcBorders>
            <w:vAlign w:val="center"/>
          </w:tcPr>
          <w:p w14:paraId="6A78C16B" w14:textId="77777777" w:rsidR="000A34BE" w:rsidRPr="006F1EEC" w:rsidRDefault="000A34BE" w:rsidP="007C1B79">
            <w:pPr>
              <w:jc w:val="center"/>
              <w:rPr>
                <w:rFonts w:ascii="Calibri" w:eastAsia="Calibri" w:hAnsi="Calibri" w:cs="Times New Roman"/>
                <w:sz w:val="14"/>
                <w:szCs w:val="14"/>
              </w:rPr>
            </w:pPr>
            <w:r w:rsidRPr="006F1EEC">
              <w:rPr>
                <w:rFonts w:ascii="Calibri" w:eastAsia="Calibri" w:hAnsi="Calibri" w:cs="Times New Roman"/>
                <w:sz w:val="14"/>
                <w:szCs w:val="14"/>
              </w:rPr>
              <w:t>201794</w:t>
            </w:r>
          </w:p>
        </w:tc>
        <w:tc>
          <w:tcPr>
            <w:tcW w:w="644" w:type="dxa"/>
            <w:tcBorders>
              <w:bottom w:val="single" w:sz="4" w:space="0" w:color="auto"/>
            </w:tcBorders>
            <w:vAlign w:val="center"/>
          </w:tcPr>
          <w:p w14:paraId="35A10987" w14:textId="77777777" w:rsidR="000A34BE" w:rsidRPr="006F1EEC" w:rsidRDefault="000A34BE" w:rsidP="007C1B79">
            <w:pPr>
              <w:jc w:val="center"/>
              <w:rPr>
                <w:rFonts w:ascii="Calibri" w:eastAsia="Calibri" w:hAnsi="Calibri" w:cs="Times New Roman"/>
                <w:sz w:val="14"/>
                <w:szCs w:val="14"/>
              </w:rPr>
            </w:pPr>
            <w:r w:rsidRPr="006F1EEC">
              <w:rPr>
                <w:rFonts w:ascii="Calibri" w:eastAsia="Calibri" w:hAnsi="Calibri" w:cs="Times New Roman"/>
                <w:sz w:val="14"/>
                <w:szCs w:val="14"/>
              </w:rPr>
              <w:t>212948</w:t>
            </w:r>
          </w:p>
        </w:tc>
        <w:tc>
          <w:tcPr>
            <w:tcW w:w="681" w:type="dxa"/>
            <w:tcBorders>
              <w:bottom w:val="single" w:sz="4" w:space="0" w:color="auto"/>
            </w:tcBorders>
            <w:vAlign w:val="center"/>
          </w:tcPr>
          <w:p w14:paraId="7DF749D8" w14:textId="77777777" w:rsidR="000A34BE" w:rsidRPr="006F1EEC" w:rsidRDefault="000A34BE" w:rsidP="007C1B79">
            <w:pPr>
              <w:jc w:val="center"/>
              <w:rPr>
                <w:rFonts w:ascii="Calibri" w:eastAsia="Calibri" w:hAnsi="Calibri" w:cs="Times New Roman"/>
                <w:sz w:val="14"/>
                <w:szCs w:val="14"/>
              </w:rPr>
            </w:pPr>
            <w:r w:rsidRPr="006F1EEC">
              <w:rPr>
                <w:rFonts w:ascii="Calibri" w:eastAsia="Calibri" w:hAnsi="Calibri" w:cs="Times New Roman"/>
                <w:sz w:val="14"/>
                <w:szCs w:val="14"/>
              </w:rPr>
              <w:t>4250</w:t>
            </w:r>
          </w:p>
        </w:tc>
        <w:tc>
          <w:tcPr>
            <w:tcW w:w="865" w:type="dxa"/>
            <w:tcBorders>
              <w:bottom w:val="single" w:sz="4" w:space="0" w:color="auto"/>
            </w:tcBorders>
            <w:vAlign w:val="center"/>
          </w:tcPr>
          <w:p w14:paraId="12D8E074" w14:textId="77777777" w:rsidR="000A34BE" w:rsidRPr="006F1EEC" w:rsidRDefault="000A34BE" w:rsidP="007C1B79">
            <w:pPr>
              <w:jc w:val="center"/>
              <w:rPr>
                <w:rFonts w:ascii="Calibri" w:eastAsia="Calibri" w:hAnsi="Calibri" w:cs="Times New Roman"/>
                <w:sz w:val="14"/>
                <w:szCs w:val="14"/>
              </w:rPr>
            </w:pPr>
            <w:r w:rsidRPr="006F1EEC">
              <w:rPr>
                <w:rFonts w:ascii="Calibri" w:eastAsia="Calibri" w:hAnsi="Calibri" w:cs="Times New Roman"/>
                <w:sz w:val="14"/>
                <w:szCs w:val="14"/>
              </w:rPr>
              <w:t>6.75E+06</w:t>
            </w:r>
          </w:p>
        </w:tc>
        <w:tc>
          <w:tcPr>
            <w:tcW w:w="1070" w:type="dxa"/>
            <w:tcBorders>
              <w:bottom w:val="single" w:sz="4" w:space="0" w:color="auto"/>
            </w:tcBorders>
            <w:vAlign w:val="center"/>
          </w:tcPr>
          <w:p w14:paraId="252774B8" w14:textId="77777777" w:rsidR="000A34BE" w:rsidRPr="006F1EEC" w:rsidRDefault="000A34BE" w:rsidP="007C1B79">
            <w:pPr>
              <w:jc w:val="center"/>
              <w:rPr>
                <w:rFonts w:ascii="Calibri" w:eastAsia="Calibri" w:hAnsi="Calibri" w:cs="Times New Roman"/>
                <w:sz w:val="14"/>
                <w:szCs w:val="14"/>
              </w:rPr>
            </w:pPr>
            <w:r w:rsidRPr="006F1EEC">
              <w:rPr>
                <w:rFonts w:ascii="Calibri" w:eastAsia="Calibri" w:hAnsi="Calibri" w:cs="Times New Roman"/>
                <w:sz w:val="14"/>
                <w:szCs w:val="14"/>
              </w:rPr>
              <w:t>Geothermal</w:t>
            </w:r>
          </w:p>
        </w:tc>
        <w:tc>
          <w:tcPr>
            <w:tcW w:w="993" w:type="dxa"/>
            <w:tcBorders>
              <w:bottom w:val="single" w:sz="4" w:space="0" w:color="auto"/>
            </w:tcBorders>
            <w:vAlign w:val="center"/>
          </w:tcPr>
          <w:p w14:paraId="75B5819F" w14:textId="77777777" w:rsidR="000A34BE" w:rsidRPr="006F1EEC" w:rsidRDefault="000A34BE" w:rsidP="007C1B79">
            <w:pPr>
              <w:jc w:val="center"/>
              <w:rPr>
                <w:rFonts w:ascii="Calibri" w:eastAsia="Calibri" w:hAnsi="Calibri" w:cs="Times New Roman"/>
                <w:sz w:val="14"/>
                <w:szCs w:val="14"/>
              </w:rPr>
            </w:pPr>
            <w:r w:rsidRPr="006F1EEC">
              <w:rPr>
                <w:rFonts w:ascii="Calibri" w:eastAsia="Calibri" w:hAnsi="Calibri" w:cs="Times New Roman"/>
                <w:sz w:val="14"/>
                <w:szCs w:val="14"/>
              </w:rPr>
              <w:t>1320</w:t>
            </w:r>
          </w:p>
        </w:tc>
        <w:tc>
          <w:tcPr>
            <w:tcW w:w="2551" w:type="dxa"/>
            <w:tcBorders>
              <w:bottom w:val="single" w:sz="4" w:space="0" w:color="auto"/>
            </w:tcBorders>
            <w:vAlign w:val="center"/>
          </w:tcPr>
          <w:p w14:paraId="4F3A953D" w14:textId="77777777" w:rsidR="000A34BE" w:rsidRPr="006F1EEC" w:rsidRDefault="000A34BE" w:rsidP="007C1B79">
            <w:pPr>
              <w:jc w:val="center"/>
              <w:rPr>
                <w:rFonts w:ascii="Calibri" w:eastAsia="Calibri" w:hAnsi="Calibri" w:cs="Times New Roman"/>
                <w:sz w:val="14"/>
                <w:szCs w:val="14"/>
              </w:rPr>
            </w:pPr>
            <w:r w:rsidRPr="006F1EEC">
              <w:rPr>
                <w:rFonts w:ascii="Calibri" w:eastAsia="Calibri" w:hAnsi="Calibri" w:cs="Times New Roman"/>
                <w:sz w:val="14"/>
                <w:szCs w:val="14"/>
              </w:rPr>
              <w:t>Lower Carboniferous Limestone Group</w:t>
            </w:r>
          </w:p>
        </w:tc>
      </w:tr>
    </w:tbl>
    <w:p w14:paraId="5916AE22" w14:textId="77777777" w:rsidR="000A34BE" w:rsidRPr="006F1EEC" w:rsidRDefault="000A34BE" w:rsidP="008F2680">
      <w:pPr>
        <w:numPr>
          <w:ilvl w:val="0"/>
          <w:numId w:val="9"/>
        </w:numPr>
        <w:spacing w:after="160" w:line="259" w:lineRule="auto"/>
        <w:contextualSpacing/>
        <w:jc w:val="left"/>
        <w:rPr>
          <w:rFonts w:ascii="Calibri" w:eastAsia="Calibri" w:hAnsi="Calibri"/>
          <w:sz w:val="14"/>
          <w:szCs w:val="14"/>
        </w:rPr>
      </w:pPr>
      <w:r w:rsidRPr="006F1EEC">
        <w:rPr>
          <w:rFonts w:ascii="Calibri" w:eastAsia="Calibri" w:hAnsi="Calibri"/>
          <w:sz w:val="14"/>
          <w:szCs w:val="14"/>
        </w:rPr>
        <w:t>m Lambert 72</w:t>
      </w:r>
    </w:p>
    <w:p w14:paraId="5623274A" w14:textId="77777777" w:rsidR="000A34BE" w:rsidRPr="006F1EEC" w:rsidRDefault="000A34BE" w:rsidP="008F2680">
      <w:pPr>
        <w:numPr>
          <w:ilvl w:val="0"/>
          <w:numId w:val="9"/>
        </w:numPr>
        <w:spacing w:after="160" w:line="259" w:lineRule="auto"/>
        <w:contextualSpacing/>
        <w:jc w:val="left"/>
        <w:rPr>
          <w:rFonts w:ascii="Calibri" w:eastAsia="Calibri" w:hAnsi="Calibri"/>
          <w:sz w:val="14"/>
          <w:szCs w:val="14"/>
        </w:rPr>
      </w:pPr>
      <w:r w:rsidRPr="006F1EEC">
        <w:rPr>
          <w:rFonts w:ascii="Calibri" w:eastAsia="Calibri" w:hAnsi="Calibri"/>
          <w:sz w:val="14"/>
          <w:szCs w:val="14"/>
        </w:rPr>
        <w:t xml:space="preserve">m </w:t>
      </w:r>
    </w:p>
    <w:p w14:paraId="1DA73307" w14:textId="1123C104" w:rsidR="000A34BE" w:rsidRDefault="000A34BE" w:rsidP="008F2680">
      <w:pPr>
        <w:numPr>
          <w:ilvl w:val="0"/>
          <w:numId w:val="9"/>
        </w:numPr>
        <w:spacing w:after="160" w:line="259" w:lineRule="auto"/>
        <w:contextualSpacing/>
        <w:jc w:val="left"/>
        <w:rPr>
          <w:rFonts w:ascii="Calibri" w:eastAsia="Calibri" w:hAnsi="Calibri"/>
          <w:sz w:val="14"/>
          <w:szCs w:val="14"/>
        </w:rPr>
      </w:pPr>
      <w:r w:rsidRPr="006F1EEC">
        <w:rPr>
          <w:rFonts w:ascii="Calibri" w:eastAsia="Calibri" w:hAnsi="Calibri"/>
          <w:sz w:val="14"/>
          <w:szCs w:val="14"/>
        </w:rPr>
        <w:t>m³/year</w:t>
      </w:r>
    </w:p>
    <w:p w14:paraId="23B06057" w14:textId="77777777" w:rsidR="007C0849" w:rsidRPr="006F1EEC" w:rsidRDefault="007C0849" w:rsidP="007C0849">
      <w:pPr>
        <w:spacing w:after="160" w:line="259" w:lineRule="auto"/>
        <w:contextualSpacing/>
        <w:jc w:val="left"/>
        <w:rPr>
          <w:rFonts w:ascii="Calibri" w:eastAsia="Calibri" w:hAnsi="Calibri"/>
          <w:sz w:val="14"/>
          <w:szCs w:val="14"/>
        </w:rPr>
      </w:pPr>
    </w:p>
    <w:p w14:paraId="325D51A9" w14:textId="510AA9A3" w:rsidR="000A34BE" w:rsidRPr="006F1EEC" w:rsidRDefault="000A34BE" w:rsidP="00077DF5">
      <w:pPr>
        <w:jc w:val="left"/>
      </w:pPr>
      <w:r w:rsidRPr="006F1EEC">
        <w:t>The Rauw fault pilot site consists of a series of piezometers, all but one located on the western side (footwall block) of the fault (</w:t>
      </w:r>
      <w:r w:rsidRPr="006F1EEC">
        <w:fldChar w:fldCharType="begin"/>
      </w:r>
      <w:r w:rsidRPr="006F1EEC">
        <w:instrText xml:space="preserve"> REF _Ref533012132 \h </w:instrText>
      </w:r>
      <w:r w:rsidRPr="006F1EEC">
        <w:fldChar w:fldCharType="separate"/>
      </w:r>
      <w:r w:rsidR="00734A2A" w:rsidRPr="006F1EEC">
        <w:t xml:space="preserve">Figure </w:t>
      </w:r>
      <w:r w:rsidR="00734A2A">
        <w:rPr>
          <w:noProof/>
        </w:rPr>
        <w:t>21</w:t>
      </w:r>
      <w:r w:rsidRPr="006F1EEC">
        <w:fldChar w:fldCharType="end"/>
      </w:r>
      <w:r w:rsidRPr="006F1EEC">
        <w:t xml:space="preserve"> and </w:t>
      </w:r>
      <w:r w:rsidRPr="006F1EEC">
        <w:fldChar w:fldCharType="begin"/>
      </w:r>
      <w:r w:rsidRPr="006F1EEC">
        <w:instrText xml:space="preserve"> REF _Ref533012989 \h </w:instrText>
      </w:r>
      <w:r w:rsidRPr="006F1EEC">
        <w:fldChar w:fldCharType="separate"/>
      </w:r>
      <w:r w:rsidR="00734A2A" w:rsidRPr="006F1EEC">
        <w:t xml:space="preserve">Table </w:t>
      </w:r>
      <w:r w:rsidR="00734A2A">
        <w:rPr>
          <w:noProof/>
        </w:rPr>
        <w:t>2</w:t>
      </w:r>
      <w:r w:rsidRPr="006F1EEC">
        <w:fldChar w:fldCharType="end"/>
      </w:r>
      <w:r w:rsidRPr="006F1EEC">
        <w:t>). Piezometer R-54a is located in the hanging wall, and its filter reaches a depth of ca. 100 m, i.e. the Diest Formation (Miocene aquifer). Piezometer R-54b is located west of the fault and its filter reaches a depth of ca. 120 m (Diest Formation). The filters of piezometers R-54c and R-54d are located in the sands directly overlying the Boom Clay (i.e., the Eigenbilzen Formation), at a depth of ca. 300 m. Finally, piezometer filters of R-54e and R-54f are located in the aquifers below the Boom Clay, the Lede/Brussel Formation and the Hannut Formation respectively. The latter reaches a depth of ca. 600 m.</w:t>
      </w:r>
    </w:p>
    <w:p w14:paraId="41128A20" w14:textId="77777777" w:rsidR="000A34BE" w:rsidRPr="006F1EEC" w:rsidRDefault="000A34BE" w:rsidP="000A34BE"/>
    <w:p w14:paraId="7F49BD45" w14:textId="77777777" w:rsidR="000A34BE" w:rsidRPr="006F1EEC" w:rsidRDefault="000A34BE" w:rsidP="000A34BE">
      <w:r w:rsidRPr="006F1EEC">
        <w:rPr>
          <w:noProof/>
          <w:lang w:eastAsia="en-GB"/>
        </w:rPr>
        <w:drawing>
          <wp:inline distT="0" distB="0" distL="0" distR="0" wp14:anchorId="7A1CB954" wp14:editId="3AFED4DC">
            <wp:extent cx="5238750" cy="583564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43928" cy="5841413"/>
                    </a:xfrm>
                    <a:prstGeom prst="rect">
                      <a:avLst/>
                    </a:prstGeom>
                    <a:noFill/>
                  </pic:spPr>
                </pic:pic>
              </a:graphicData>
            </a:graphic>
          </wp:inline>
        </w:drawing>
      </w:r>
    </w:p>
    <w:p w14:paraId="4AEF037E" w14:textId="4ABBF3A1" w:rsidR="000A34BE" w:rsidRDefault="000A34BE" w:rsidP="000A34BE">
      <w:pPr>
        <w:pStyle w:val="Billedtekst"/>
      </w:pPr>
      <w:bookmarkStart w:id="79" w:name="_Ref533012132"/>
      <w:r w:rsidRPr="006F1EEC">
        <w:t xml:space="preserve">Figure </w:t>
      </w:r>
      <w:r w:rsidRPr="006F1EEC">
        <w:fldChar w:fldCharType="begin"/>
      </w:r>
      <w:r w:rsidRPr="006F1EEC">
        <w:instrText xml:space="preserve"> SEQ Figure \* ARABIC </w:instrText>
      </w:r>
      <w:r w:rsidRPr="006F1EEC">
        <w:fldChar w:fldCharType="separate"/>
      </w:r>
      <w:r w:rsidR="00734A2A">
        <w:rPr>
          <w:noProof/>
        </w:rPr>
        <w:t>21</w:t>
      </w:r>
      <w:r w:rsidRPr="006F1EEC">
        <w:fldChar w:fldCharType="end"/>
      </w:r>
      <w:bookmarkEnd w:id="79"/>
      <w:r w:rsidRPr="006F1EEC">
        <w:t xml:space="preserve"> – The Rauw fault pilot site showing the location of 6 piezometers and the position of the fault (Verbeeck et al., 2017). Aquitards are coloured</w:t>
      </w:r>
      <w:r w:rsidR="00127B10">
        <w:t xml:space="preserve"> purple</w:t>
      </w:r>
      <w:r w:rsidRPr="006F1EEC">
        <w:t>.</w:t>
      </w:r>
    </w:p>
    <w:p w14:paraId="04457D6E" w14:textId="77777777" w:rsidR="007C0849" w:rsidRPr="007C0849" w:rsidRDefault="007C0849" w:rsidP="007C0849"/>
    <w:p w14:paraId="5503645E" w14:textId="77777777" w:rsidR="007C0849" w:rsidRDefault="007C0849">
      <w:pPr>
        <w:jc w:val="left"/>
        <w:rPr>
          <w:bCs/>
        </w:rPr>
      </w:pPr>
      <w:bookmarkStart w:id="80" w:name="_Ref533012989"/>
      <w:r>
        <w:br w:type="page"/>
      </w:r>
    </w:p>
    <w:p w14:paraId="4E65C354" w14:textId="68C7CA5D" w:rsidR="000A34BE" w:rsidRPr="006F1EEC" w:rsidRDefault="000A34BE" w:rsidP="000A34BE">
      <w:pPr>
        <w:pStyle w:val="Billedtekst"/>
        <w:rPr>
          <w:rFonts w:ascii="Calibri" w:eastAsia="Calibri" w:hAnsi="Calibri"/>
        </w:rPr>
      </w:pPr>
      <w:r w:rsidRPr="006F1EEC">
        <w:t xml:space="preserve">Table </w:t>
      </w:r>
      <w:r w:rsidRPr="006F1EEC">
        <w:fldChar w:fldCharType="begin"/>
      </w:r>
      <w:r w:rsidRPr="006F1EEC">
        <w:instrText xml:space="preserve"> SEQ Table \* ARABIC </w:instrText>
      </w:r>
      <w:r w:rsidRPr="006F1EEC">
        <w:fldChar w:fldCharType="separate"/>
      </w:r>
      <w:r w:rsidR="00734A2A">
        <w:rPr>
          <w:noProof/>
        </w:rPr>
        <w:t>2</w:t>
      </w:r>
      <w:r w:rsidRPr="006F1EEC">
        <w:fldChar w:fldCharType="end"/>
      </w:r>
      <w:bookmarkEnd w:id="80"/>
      <w:r w:rsidRPr="006F1EEC">
        <w:t xml:space="preserve"> – ID, installation date, coordinates, filter depth and filter stratigraphy of the Rauw fault pilot site. Used with permission from ONDRAF-NIRAS, the Belgian National Agency for Radioactive Waste and enriched Fissile Material.</w:t>
      </w: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3"/>
        <w:gridCol w:w="760"/>
        <w:gridCol w:w="1142"/>
        <w:gridCol w:w="819"/>
        <w:gridCol w:w="990"/>
        <w:gridCol w:w="615"/>
        <w:gridCol w:w="887"/>
        <w:gridCol w:w="696"/>
        <w:gridCol w:w="757"/>
        <w:gridCol w:w="634"/>
        <w:gridCol w:w="1123"/>
      </w:tblGrid>
      <w:tr w:rsidR="000A34BE" w:rsidRPr="006F1EEC" w14:paraId="2E48082E" w14:textId="77777777" w:rsidTr="007C1B79">
        <w:trPr>
          <w:trHeight w:val="454"/>
        </w:trPr>
        <w:tc>
          <w:tcPr>
            <w:tcW w:w="643" w:type="dxa"/>
            <w:tcBorders>
              <w:top w:val="single" w:sz="4" w:space="0" w:color="auto"/>
              <w:bottom w:val="single" w:sz="4" w:space="0" w:color="auto"/>
            </w:tcBorders>
            <w:noWrap/>
            <w:vAlign w:val="center"/>
            <w:hideMark/>
          </w:tcPr>
          <w:p w14:paraId="31033D17" w14:textId="77777777" w:rsidR="000A34BE" w:rsidRPr="006F1EEC" w:rsidRDefault="000A34BE" w:rsidP="007C1B79">
            <w:pPr>
              <w:jc w:val="center"/>
              <w:rPr>
                <w:rFonts w:ascii="Calibri" w:hAnsi="Calibri" w:cs="Calibri"/>
                <w:b/>
                <w:bCs/>
                <w:color w:val="000000"/>
                <w:sz w:val="14"/>
                <w:szCs w:val="14"/>
              </w:rPr>
            </w:pPr>
            <w:r w:rsidRPr="006F1EEC">
              <w:rPr>
                <w:rFonts w:ascii="Calibri" w:hAnsi="Calibri" w:cs="Calibri"/>
                <w:b/>
                <w:bCs/>
                <w:color w:val="000000"/>
                <w:sz w:val="14"/>
                <w:szCs w:val="14"/>
              </w:rPr>
              <w:t>ID</w:t>
            </w:r>
          </w:p>
        </w:tc>
        <w:tc>
          <w:tcPr>
            <w:tcW w:w="760" w:type="dxa"/>
            <w:tcBorders>
              <w:top w:val="single" w:sz="4" w:space="0" w:color="auto"/>
              <w:bottom w:val="single" w:sz="4" w:space="0" w:color="auto"/>
            </w:tcBorders>
            <w:noWrap/>
            <w:vAlign w:val="center"/>
            <w:hideMark/>
          </w:tcPr>
          <w:p w14:paraId="644B7172" w14:textId="77777777" w:rsidR="000A34BE" w:rsidRPr="006F1EEC" w:rsidRDefault="000A34BE" w:rsidP="007C1B79">
            <w:pPr>
              <w:jc w:val="center"/>
              <w:rPr>
                <w:rFonts w:ascii="Calibri" w:hAnsi="Calibri" w:cs="Calibri"/>
                <w:b/>
                <w:bCs/>
                <w:color w:val="000000"/>
                <w:sz w:val="14"/>
                <w:szCs w:val="14"/>
              </w:rPr>
            </w:pPr>
            <w:r w:rsidRPr="006F1EEC">
              <w:rPr>
                <w:rFonts w:ascii="Calibri" w:hAnsi="Calibri" w:cs="Calibri"/>
                <w:b/>
                <w:bCs/>
                <w:color w:val="000000"/>
                <w:sz w:val="14"/>
                <w:szCs w:val="14"/>
              </w:rPr>
              <w:t>Owner</w:t>
            </w:r>
          </w:p>
        </w:tc>
        <w:tc>
          <w:tcPr>
            <w:tcW w:w="1142" w:type="dxa"/>
            <w:tcBorders>
              <w:top w:val="single" w:sz="4" w:space="0" w:color="auto"/>
              <w:bottom w:val="single" w:sz="4" w:space="0" w:color="auto"/>
            </w:tcBorders>
            <w:noWrap/>
            <w:vAlign w:val="center"/>
            <w:hideMark/>
          </w:tcPr>
          <w:p w14:paraId="3D4C174D" w14:textId="77777777" w:rsidR="000A34BE" w:rsidRPr="006F1EEC" w:rsidRDefault="000A34BE" w:rsidP="007C1B79">
            <w:pPr>
              <w:jc w:val="center"/>
              <w:rPr>
                <w:rFonts w:ascii="Calibri" w:hAnsi="Calibri" w:cs="Calibri"/>
                <w:b/>
                <w:bCs/>
                <w:color w:val="000000"/>
                <w:sz w:val="14"/>
                <w:szCs w:val="14"/>
              </w:rPr>
            </w:pPr>
            <w:r w:rsidRPr="006F1EEC">
              <w:rPr>
                <w:rFonts w:ascii="Calibri" w:hAnsi="Calibri" w:cs="Calibri"/>
                <w:b/>
                <w:bCs/>
                <w:color w:val="000000"/>
                <w:sz w:val="14"/>
                <w:szCs w:val="14"/>
              </w:rPr>
              <w:t>Installation date</w:t>
            </w:r>
          </w:p>
        </w:tc>
        <w:tc>
          <w:tcPr>
            <w:tcW w:w="819" w:type="dxa"/>
            <w:tcBorders>
              <w:top w:val="single" w:sz="4" w:space="0" w:color="auto"/>
              <w:bottom w:val="single" w:sz="4" w:space="0" w:color="auto"/>
            </w:tcBorders>
            <w:noWrap/>
            <w:vAlign w:val="center"/>
            <w:hideMark/>
          </w:tcPr>
          <w:p w14:paraId="2B26CC9A" w14:textId="77777777" w:rsidR="000A34BE" w:rsidRPr="006F1EEC" w:rsidRDefault="000A34BE" w:rsidP="007C1B79">
            <w:pPr>
              <w:jc w:val="center"/>
              <w:rPr>
                <w:rFonts w:ascii="Calibri" w:hAnsi="Calibri" w:cs="Calibri"/>
                <w:b/>
                <w:bCs/>
                <w:color w:val="000000"/>
                <w:sz w:val="14"/>
                <w:szCs w:val="14"/>
              </w:rPr>
            </w:pPr>
            <w:r w:rsidRPr="006F1EEC">
              <w:rPr>
                <w:rFonts w:ascii="Calibri" w:hAnsi="Calibri" w:cs="Calibri"/>
                <w:b/>
                <w:bCs/>
                <w:color w:val="000000"/>
                <w:sz w:val="14"/>
                <w:szCs w:val="14"/>
              </w:rPr>
              <w:t>X</w:t>
            </w:r>
            <w:r w:rsidRPr="006F1EEC">
              <w:rPr>
                <w:rFonts w:ascii="Calibri" w:hAnsi="Calibri" w:cs="Calibri"/>
                <w:b/>
                <w:bCs/>
                <w:color w:val="000000"/>
                <w:sz w:val="14"/>
                <w:szCs w:val="14"/>
                <w:vertAlign w:val="superscript"/>
              </w:rPr>
              <w:t>(a)</w:t>
            </w:r>
          </w:p>
        </w:tc>
        <w:tc>
          <w:tcPr>
            <w:tcW w:w="990" w:type="dxa"/>
            <w:tcBorders>
              <w:top w:val="single" w:sz="4" w:space="0" w:color="auto"/>
              <w:bottom w:val="single" w:sz="4" w:space="0" w:color="auto"/>
            </w:tcBorders>
            <w:noWrap/>
            <w:vAlign w:val="center"/>
            <w:hideMark/>
          </w:tcPr>
          <w:p w14:paraId="0A83EB71" w14:textId="77777777" w:rsidR="000A34BE" w:rsidRPr="006F1EEC" w:rsidRDefault="000A34BE" w:rsidP="007C1B79">
            <w:pPr>
              <w:jc w:val="center"/>
              <w:rPr>
                <w:rFonts w:ascii="Calibri" w:hAnsi="Calibri" w:cs="Calibri"/>
                <w:b/>
                <w:bCs/>
                <w:color w:val="000000"/>
                <w:sz w:val="14"/>
                <w:szCs w:val="14"/>
              </w:rPr>
            </w:pPr>
            <w:r w:rsidRPr="006F1EEC">
              <w:rPr>
                <w:rFonts w:ascii="Calibri" w:hAnsi="Calibri" w:cs="Calibri"/>
                <w:b/>
                <w:bCs/>
                <w:color w:val="000000"/>
                <w:sz w:val="14"/>
                <w:szCs w:val="14"/>
              </w:rPr>
              <w:t>Y</w:t>
            </w:r>
            <w:r w:rsidRPr="006F1EEC">
              <w:rPr>
                <w:rFonts w:ascii="Calibri" w:hAnsi="Calibri" w:cs="Calibri"/>
                <w:b/>
                <w:bCs/>
                <w:color w:val="000000"/>
                <w:sz w:val="14"/>
                <w:szCs w:val="14"/>
                <w:vertAlign w:val="superscript"/>
              </w:rPr>
              <w:t>(a)</w:t>
            </w:r>
          </w:p>
        </w:tc>
        <w:tc>
          <w:tcPr>
            <w:tcW w:w="615" w:type="dxa"/>
            <w:tcBorders>
              <w:top w:val="single" w:sz="4" w:space="0" w:color="auto"/>
              <w:bottom w:val="single" w:sz="4" w:space="0" w:color="auto"/>
            </w:tcBorders>
            <w:noWrap/>
            <w:vAlign w:val="center"/>
            <w:hideMark/>
          </w:tcPr>
          <w:p w14:paraId="01EC0A13" w14:textId="77777777" w:rsidR="000A34BE" w:rsidRPr="006F1EEC" w:rsidRDefault="000A34BE" w:rsidP="007C1B79">
            <w:pPr>
              <w:jc w:val="center"/>
              <w:rPr>
                <w:rFonts w:ascii="Calibri" w:hAnsi="Calibri" w:cs="Calibri"/>
                <w:b/>
                <w:bCs/>
                <w:color w:val="000000"/>
                <w:sz w:val="14"/>
                <w:szCs w:val="14"/>
              </w:rPr>
            </w:pPr>
            <w:r w:rsidRPr="006F1EEC">
              <w:rPr>
                <w:rFonts w:ascii="Calibri" w:hAnsi="Calibri" w:cs="Calibri"/>
                <w:b/>
                <w:bCs/>
                <w:color w:val="000000"/>
                <w:sz w:val="14"/>
                <w:szCs w:val="14"/>
              </w:rPr>
              <w:t>Z</w:t>
            </w:r>
            <w:r w:rsidRPr="006F1EEC">
              <w:rPr>
                <w:rFonts w:ascii="Calibri" w:hAnsi="Calibri" w:cs="Calibri"/>
                <w:b/>
                <w:bCs/>
                <w:color w:val="000000"/>
                <w:sz w:val="14"/>
                <w:szCs w:val="14"/>
                <w:vertAlign w:val="superscript"/>
              </w:rPr>
              <w:t>(b)</w:t>
            </w:r>
            <w:r w:rsidRPr="006F1EEC">
              <w:rPr>
                <w:rFonts w:ascii="Calibri" w:hAnsi="Calibri" w:cs="Calibri"/>
                <w:b/>
                <w:bCs/>
                <w:color w:val="000000"/>
                <w:sz w:val="14"/>
                <w:szCs w:val="14"/>
              </w:rPr>
              <w:t xml:space="preserve"> </w:t>
            </w:r>
          </w:p>
        </w:tc>
        <w:tc>
          <w:tcPr>
            <w:tcW w:w="887" w:type="dxa"/>
            <w:tcBorders>
              <w:top w:val="single" w:sz="4" w:space="0" w:color="auto"/>
              <w:bottom w:val="single" w:sz="4" w:space="0" w:color="auto"/>
            </w:tcBorders>
            <w:noWrap/>
            <w:vAlign w:val="center"/>
            <w:hideMark/>
          </w:tcPr>
          <w:p w14:paraId="574B1AF8" w14:textId="77777777" w:rsidR="000A34BE" w:rsidRPr="006F1EEC" w:rsidRDefault="000A34BE" w:rsidP="007C1B79">
            <w:pPr>
              <w:jc w:val="center"/>
              <w:rPr>
                <w:rFonts w:ascii="Calibri" w:hAnsi="Calibri" w:cs="Calibri"/>
                <w:b/>
                <w:bCs/>
                <w:color w:val="000000"/>
                <w:sz w:val="14"/>
                <w:szCs w:val="14"/>
              </w:rPr>
            </w:pPr>
            <w:r w:rsidRPr="006F1EEC">
              <w:rPr>
                <w:rFonts w:ascii="Calibri" w:hAnsi="Calibri" w:cs="Calibri"/>
                <w:b/>
                <w:bCs/>
                <w:color w:val="000000"/>
                <w:sz w:val="14"/>
                <w:szCs w:val="14"/>
              </w:rPr>
              <w:t>Diameter</w:t>
            </w:r>
            <w:r w:rsidRPr="006F1EEC">
              <w:rPr>
                <w:rFonts w:ascii="Calibri" w:hAnsi="Calibri" w:cs="Calibri"/>
                <w:b/>
                <w:bCs/>
                <w:color w:val="000000"/>
                <w:sz w:val="14"/>
                <w:szCs w:val="14"/>
                <w:vertAlign w:val="superscript"/>
              </w:rPr>
              <w:t xml:space="preserve">(c) </w:t>
            </w:r>
          </w:p>
        </w:tc>
        <w:tc>
          <w:tcPr>
            <w:tcW w:w="696" w:type="dxa"/>
            <w:tcBorders>
              <w:top w:val="single" w:sz="4" w:space="0" w:color="auto"/>
              <w:bottom w:val="single" w:sz="4" w:space="0" w:color="auto"/>
            </w:tcBorders>
            <w:noWrap/>
            <w:vAlign w:val="center"/>
            <w:hideMark/>
          </w:tcPr>
          <w:p w14:paraId="77569268" w14:textId="77777777" w:rsidR="000A34BE" w:rsidRPr="006F1EEC" w:rsidRDefault="000A34BE" w:rsidP="007C1B79">
            <w:pPr>
              <w:jc w:val="center"/>
              <w:rPr>
                <w:rFonts w:ascii="Calibri" w:hAnsi="Calibri" w:cs="Calibri"/>
                <w:b/>
                <w:bCs/>
                <w:color w:val="000000"/>
                <w:sz w:val="14"/>
                <w:szCs w:val="14"/>
              </w:rPr>
            </w:pPr>
            <w:r w:rsidRPr="006F1EEC">
              <w:rPr>
                <w:rFonts w:ascii="Calibri" w:hAnsi="Calibri" w:cs="Calibri"/>
                <w:b/>
                <w:bCs/>
                <w:color w:val="000000"/>
                <w:sz w:val="14"/>
                <w:szCs w:val="14"/>
              </w:rPr>
              <w:t>Filter top</w:t>
            </w:r>
            <w:r w:rsidRPr="006F1EEC">
              <w:rPr>
                <w:rFonts w:ascii="Calibri" w:hAnsi="Calibri" w:cs="Calibri"/>
                <w:b/>
                <w:bCs/>
                <w:color w:val="000000"/>
                <w:sz w:val="14"/>
                <w:szCs w:val="14"/>
                <w:vertAlign w:val="superscript"/>
              </w:rPr>
              <w:t>(b)</w:t>
            </w:r>
          </w:p>
        </w:tc>
        <w:tc>
          <w:tcPr>
            <w:tcW w:w="757" w:type="dxa"/>
            <w:tcBorders>
              <w:top w:val="single" w:sz="4" w:space="0" w:color="auto"/>
              <w:bottom w:val="single" w:sz="4" w:space="0" w:color="auto"/>
            </w:tcBorders>
            <w:noWrap/>
            <w:vAlign w:val="center"/>
            <w:hideMark/>
          </w:tcPr>
          <w:p w14:paraId="4F3B895B" w14:textId="77777777" w:rsidR="000A34BE" w:rsidRPr="006F1EEC" w:rsidRDefault="000A34BE" w:rsidP="007C1B79">
            <w:pPr>
              <w:jc w:val="center"/>
              <w:rPr>
                <w:rFonts w:ascii="Calibri" w:hAnsi="Calibri" w:cs="Calibri"/>
                <w:b/>
                <w:bCs/>
                <w:color w:val="000000"/>
                <w:sz w:val="14"/>
                <w:szCs w:val="14"/>
              </w:rPr>
            </w:pPr>
            <w:r w:rsidRPr="006F1EEC">
              <w:rPr>
                <w:rFonts w:ascii="Calibri" w:hAnsi="Calibri" w:cs="Calibri"/>
                <w:b/>
                <w:bCs/>
                <w:color w:val="000000"/>
                <w:sz w:val="14"/>
                <w:szCs w:val="14"/>
              </w:rPr>
              <w:t>Filter bottom</w:t>
            </w:r>
            <w:r w:rsidRPr="006F1EEC">
              <w:rPr>
                <w:rFonts w:ascii="Calibri" w:hAnsi="Calibri" w:cs="Calibri"/>
                <w:b/>
                <w:bCs/>
                <w:color w:val="000000"/>
                <w:sz w:val="14"/>
                <w:szCs w:val="14"/>
                <w:vertAlign w:val="superscript"/>
              </w:rPr>
              <w:t>(b)</w:t>
            </w:r>
            <w:r w:rsidRPr="006F1EEC">
              <w:rPr>
                <w:rFonts w:ascii="Calibri" w:hAnsi="Calibri" w:cs="Calibri"/>
                <w:b/>
                <w:bCs/>
                <w:color w:val="000000"/>
                <w:sz w:val="14"/>
                <w:szCs w:val="14"/>
              </w:rPr>
              <w:t xml:space="preserve"> </w:t>
            </w:r>
          </w:p>
        </w:tc>
        <w:tc>
          <w:tcPr>
            <w:tcW w:w="634" w:type="dxa"/>
            <w:tcBorders>
              <w:top w:val="single" w:sz="4" w:space="0" w:color="auto"/>
              <w:bottom w:val="single" w:sz="4" w:space="0" w:color="auto"/>
            </w:tcBorders>
            <w:noWrap/>
            <w:vAlign w:val="center"/>
            <w:hideMark/>
          </w:tcPr>
          <w:p w14:paraId="3A113F5A" w14:textId="77777777" w:rsidR="000A34BE" w:rsidRPr="006F1EEC" w:rsidRDefault="000A34BE" w:rsidP="007C1B79">
            <w:pPr>
              <w:jc w:val="center"/>
              <w:rPr>
                <w:rFonts w:ascii="Calibri" w:hAnsi="Calibri" w:cs="Calibri"/>
                <w:b/>
                <w:bCs/>
                <w:color w:val="000000"/>
                <w:sz w:val="14"/>
                <w:szCs w:val="14"/>
              </w:rPr>
            </w:pPr>
            <w:r w:rsidRPr="006F1EEC">
              <w:rPr>
                <w:rFonts w:ascii="Calibri" w:hAnsi="Calibri" w:cs="Calibri"/>
                <w:b/>
                <w:bCs/>
                <w:color w:val="000000"/>
                <w:sz w:val="14"/>
                <w:szCs w:val="14"/>
              </w:rPr>
              <w:t>HCOV code</w:t>
            </w:r>
          </w:p>
        </w:tc>
        <w:tc>
          <w:tcPr>
            <w:tcW w:w="1123" w:type="dxa"/>
            <w:tcBorders>
              <w:top w:val="single" w:sz="4" w:space="0" w:color="auto"/>
              <w:bottom w:val="single" w:sz="4" w:space="0" w:color="auto"/>
            </w:tcBorders>
            <w:noWrap/>
            <w:vAlign w:val="center"/>
            <w:hideMark/>
          </w:tcPr>
          <w:p w14:paraId="42B82AA0" w14:textId="77777777" w:rsidR="000A34BE" w:rsidRPr="006F1EEC" w:rsidRDefault="000A34BE" w:rsidP="007C1B79">
            <w:pPr>
              <w:jc w:val="center"/>
              <w:rPr>
                <w:rFonts w:ascii="Calibri" w:hAnsi="Calibri" w:cs="Calibri"/>
                <w:b/>
                <w:bCs/>
                <w:color w:val="000000"/>
                <w:sz w:val="14"/>
                <w:szCs w:val="14"/>
              </w:rPr>
            </w:pPr>
            <w:r w:rsidRPr="006F1EEC">
              <w:rPr>
                <w:rFonts w:ascii="Calibri" w:hAnsi="Calibri" w:cs="Calibri"/>
                <w:b/>
                <w:bCs/>
                <w:color w:val="000000"/>
                <w:sz w:val="14"/>
                <w:szCs w:val="14"/>
              </w:rPr>
              <w:t>Stratigraphy</w:t>
            </w:r>
          </w:p>
        </w:tc>
      </w:tr>
      <w:tr w:rsidR="000A34BE" w:rsidRPr="006F1EEC" w14:paraId="017960D3" w14:textId="77777777" w:rsidTr="007C1B79">
        <w:trPr>
          <w:trHeight w:val="340"/>
        </w:trPr>
        <w:tc>
          <w:tcPr>
            <w:tcW w:w="643" w:type="dxa"/>
            <w:tcBorders>
              <w:top w:val="single" w:sz="4" w:space="0" w:color="auto"/>
            </w:tcBorders>
            <w:noWrap/>
            <w:vAlign w:val="center"/>
            <w:hideMark/>
          </w:tcPr>
          <w:p w14:paraId="1C6E8E33"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R-54a</w:t>
            </w:r>
          </w:p>
        </w:tc>
        <w:tc>
          <w:tcPr>
            <w:tcW w:w="760" w:type="dxa"/>
            <w:tcBorders>
              <w:top w:val="single" w:sz="4" w:space="0" w:color="auto"/>
            </w:tcBorders>
            <w:noWrap/>
            <w:vAlign w:val="center"/>
            <w:hideMark/>
          </w:tcPr>
          <w:p w14:paraId="58520AED"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Niras</w:t>
            </w:r>
          </w:p>
        </w:tc>
        <w:tc>
          <w:tcPr>
            <w:tcW w:w="1142" w:type="dxa"/>
            <w:tcBorders>
              <w:top w:val="single" w:sz="4" w:space="0" w:color="auto"/>
            </w:tcBorders>
            <w:noWrap/>
            <w:vAlign w:val="center"/>
            <w:hideMark/>
          </w:tcPr>
          <w:p w14:paraId="5E79FC1D"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2014-10-27</w:t>
            </w:r>
          </w:p>
        </w:tc>
        <w:tc>
          <w:tcPr>
            <w:tcW w:w="819" w:type="dxa"/>
            <w:tcBorders>
              <w:top w:val="single" w:sz="4" w:space="0" w:color="auto"/>
            </w:tcBorders>
            <w:noWrap/>
            <w:vAlign w:val="center"/>
            <w:hideMark/>
          </w:tcPr>
          <w:p w14:paraId="08C9D275"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208017.43</w:t>
            </w:r>
          </w:p>
        </w:tc>
        <w:tc>
          <w:tcPr>
            <w:tcW w:w="990" w:type="dxa"/>
            <w:tcBorders>
              <w:top w:val="single" w:sz="4" w:space="0" w:color="auto"/>
            </w:tcBorders>
            <w:noWrap/>
            <w:vAlign w:val="center"/>
            <w:hideMark/>
          </w:tcPr>
          <w:p w14:paraId="419B97E3"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215705.55</w:t>
            </w:r>
          </w:p>
        </w:tc>
        <w:tc>
          <w:tcPr>
            <w:tcW w:w="615" w:type="dxa"/>
            <w:tcBorders>
              <w:top w:val="single" w:sz="4" w:space="0" w:color="auto"/>
            </w:tcBorders>
            <w:noWrap/>
            <w:vAlign w:val="center"/>
            <w:hideMark/>
          </w:tcPr>
          <w:p w14:paraId="091EC0F3"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37.59</w:t>
            </w:r>
          </w:p>
        </w:tc>
        <w:tc>
          <w:tcPr>
            <w:tcW w:w="887" w:type="dxa"/>
            <w:tcBorders>
              <w:top w:val="single" w:sz="4" w:space="0" w:color="auto"/>
            </w:tcBorders>
            <w:noWrap/>
            <w:vAlign w:val="center"/>
            <w:hideMark/>
          </w:tcPr>
          <w:p w14:paraId="7BDCE9D0"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0.16</w:t>
            </w:r>
          </w:p>
        </w:tc>
        <w:tc>
          <w:tcPr>
            <w:tcW w:w="696" w:type="dxa"/>
            <w:tcBorders>
              <w:top w:val="single" w:sz="4" w:space="0" w:color="auto"/>
            </w:tcBorders>
            <w:noWrap/>
            <w:vAlign w:val="center"/>
            <w:hideMark/>
          </w:tcPr>
          <w:p w14:paraId="6502D1F6"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-57.43</w:t>
            </w:r>
          </w:p>
        </w:tc>
        <w:tc>
          <w:tcPr>
            <w:tcW w:w="757" w:type="dxa"/>
            <w:tcBorders>
              <w:top w:val="single" w:sz="4" w:space="0" w:color="auto"/>
            </w:tcBorders>
            <w:noWrap/>
            <w:vAlign w:val="center"/>
            <w:hideMark/>
          </w:tcPr>
          <w:p w14:paraId="383DBEE2"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-76.48</w:t>
            </w:r>
          </w:p>
        </w:tc>
        <w:tc>
          <w:tcPr>
            <w:tcW w:w="634" w:type="dxa"/>
            <w:tcBorders>
              <w:top w:val="single" w:sz="4" w:space="0" w:color="auto"/>
            </w:tcBorders>
            <w:noWrap/>
            <w:vAlign w:val="center"/>
            <w:hideMark/>
          </w:tcPr>
          <w:p w14:paraId="33D0A8E3"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0252</w:t>
            </w:r>
          </w:p>
        </w:tc>
        <w:tc>
          <w:tcPr>
            <w:tcW w:w="1123" w:type="dxa"/>
            <w:tcBorders>
              <w:top w:val="single" w:sz="4" w:space="0" w:color="auto"/>
            </w:tcBorders>
            <w:noWrap/>
            <w:vAlign w:val="center"/>
            <w:hideMark/>
          </w:tcPr>
          <w:p w14:paraId="66EBDC90"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Diest</w:t>
            </w:r>
          </w:p>
        </w:tc>
      </w:tr>
      <w:tr w:rsidR="000A34BE" w:rsidRPr="006F1EEC" w14:paraId="5E53B641" w14:textId="77777777" w:rsidTr="007C1B79">
        <w:trPr>
          <w:trHeight w:val="340"/>
        </w:trPr>
        <w:tc>
          <w:tcPr>
            <w:tcW w:w="643" w:type="dxa"/>
            <w:noWrap/>
            <w:vAlign w:val="center"/>
            <w:hideMark/>
          </w:tcPr>
          <w:p w14:paraId="28843055"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R-54b</w:t>
            </w:r>
          </w:p>
        </w:tc>
        <w:tc>
          <w:tcPr>
            <w:tcW w:w="760" w:type="dxa"/>
            <w:noWrap/>
            <w:vAlign w:val="center"/>
            <w:hideMark/>
          </w:tcPr>
          <w:p w14:paraId="723EF0C3"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Niras</w:t>
            </w:r>
          </w:p>
        </w:tc>
        <w:tc>
          <w:tcPr>
            <w:tcW w:w="1142" w:type="dxa"/>
            <w:noWrap/>
            <w:vAlign w:val="center"/>
            <w:hideMark/>
          </w:tcPr>
          <w:p w14:paraId="73A763E8"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2015-01-17</w:t>
            </w:r>
          </w:p>
        </w:tc>
        <w:tc>
          <w:tcPr>
            <w:tcW w:w="819" w:type="dxa"/>
            <w:noWrap/>
            <w:vAlign w:val="center"/>
            <w:hideMark/>
          </w:tcPr>
          <w:p w14:paraId="77B0B5A3"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207957.85</w:t>
            </w:r>
          </w:p>
        </w:tc>
        <w:tc>
          <w:tcPr>
            <w:tcW w:w="990" w:type="dxa"/>
            <w:noWrap/>
            <w:vAlign w:val="center"/>
            <w:hideMark/>
          </w:tcPr>
          <w:p w14:paraId="51351FE1"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215711.77</w:t>
            </w:r>
          </w:p>
        </w:tc>
        <w:tc>
          <w:tcPr>
            <w:tcW w:w="615" w:type="dxa"/>
            <w:noWrap/>
            <w:vAlign w:val="center"/>
            <w:hideMark/>
          </w:tcPr>
          <w:p w14:paraId="7E14E9B4"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37.67</w:t>
            </w:r>
          </w:p>
        </w:tc>
        <w:tc>
          <w:tcPr>
            <w:tcW w:w="887" w:type="dxa"/>
            <w:noWrap/>
            <w:vAlign w:val="center"/>
            <w:hideMark/>
          </w:tcPr>
          <w:p w14:paraId="03569EF9"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0.06</w:t>
            </w:r>
          </w:p>
        </w:tc>
        <w:tc>
          <w:tcPr>
            <w:tcW w:w="696" w:type="dxa"/>
            <w:noWrap/>
            <w:vAlign w:val="center"/>
            <w:hideMark/>
          </w:tcPr>
          <w:p w14:paraId="2D1D5E3F"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-72.33</w:t>
            </w:r>
          </w:p>
        </w:tc>
        <w:tc>
          <w:tcPr>
            <w:tcW w:w="757" w:type="dxa"/>
            <w:noWrap/>
            <w:vAlign w:val="center"/>
            <w:hideMark/>
          </w:tcPr>
          <w:p w14:paraId="5AB55BAB"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-96.33</w:t>
            </w:r>
          </w:p>
        </w:tc>
        <w:tc>
          <w:tcPr>
            <w:tcW w:w="634" w:type="dxa"/>
            <w:noWrap/>
            <w:vAlign w:val="center"/>
            <w:hideMark/>
          </w:tcPr>
          <w:p w14:paraId="7A8AA594"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0252</w:t>
            </w:r>
          </w:p>
        </w:tc>
        <w:tc>
          <w:tcPr>
            <w:tcW w:w="1123" w:type="dxa"/>
            <w:noWrap/>
            <w:vAlign w:val="center"/>
            <w:hideMark/>
          </w:tcPr>
          <w:p w14:paraId="33FF25A3"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Diest</w:t>
            </w:r>
          </w:p>
        </w:tc>
      </w:tr>
      <w:tr w:rsidR="000A34BE" w:rsidRPr="006F1EEC" w14:paraId="6DD7B998" w14:textId="77777777" w:rsidTr="007C1B79">
        <w:trPr>
          <w:trHeight w:val="340"/>
        </w:trPr>
        <w:tc>
          <w:tcPr>
            <w:tcW w:w="643" w:type="dxa"/>
            <w:noWrap/>
            <w:vAlign w:val="center"/>
            <w:hideMark/>
          </w:tcPr>
          <w:p w14:paraId="4C83C5DC"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R-54c</w:t>
            </w:r>
          </w:p>
        </w:tc>
        <w:tc>
          <w:tcPr>
            <w:tcW w:w="760" w:type="dxa"/>
            <w:noWrap/>
            <w:vAlign w:val="center"/>
            <w:hideMark/>
          </w:tcPr>
          <w:p w14:paraId="764A787D"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Niras</w:t>
            </w:r>
          </w:p>
        </w:tc>
        <w:tc>
          <w:tcPr>
            <w:tcW w:w="1142" w:type="dxa"/>
            <w:noWrap/>
            <w:vAlign w:val="center"/>
            <w:hideMark/>
          </w:tcPr>
          <w:p w14:paraId="21FD3F02"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2015-01-17</w:t>
            </w:r>
          </w:p>
        </w:tc>
        <w:tc>
          <w:tcPr>
            <w:tcW w:w="819" w:type="dxa"/>
            <w:noWrap/>
            <w:vAlign w:val="center"/>
            <w:hideMark/>
          </w:tcPr>
          <w:p w14:paraId="0B670346"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207957.88</w:t>
            </w:r>
          </w:p>
        </w:tc>
        <w:tc>
          <w:tcPr>
            <w:tcW w:w="990" w:type="dxa"/>
            <w:noWrap/>
            <w:vAlign w:val="center"/>
            <w:hideMark/>
          </w:tcPr>
          <w:p w14:paraId="09F55C37"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215711.88</w:t>
            </w:r>
          </w:p>
        </w:tc>
        <w:tc>
          <w:tcPr>
            <w:tcW w:w="615" w:type="dxa"/>
            <w:noWrap/>
            <w:vAlign w:val="center"/>
            <w:hideMark/>
          </w:tcPr>
          <w:p w14:paraId="24DF5DE8"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37.59</w:t>
            </w:r>
          </w:p>
        </w:tc>
        <w:tc>
          <w:tcPr>
            <w:tcW w:w="887" w:type="dxa"/>
            <w:noWrap/>
            <w:vAlign w:val="center"/>
            <w:hideMark/>
          </w:tcPr>
          <w:p w14:paraId="28226267"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0.06</w:t>
            </w:r>
          </w:p>
        </w:tc>
        <w:tc>
          <w:tcPr>
            <w:tcW w:w="696" w:type="dxa"/>
            <w:noWrap/>
            <w:vAlign w:val="center"/>
            <w:hideMark/>
          </w:tcPr>
          <w:p w14:paraId="4A25CA15"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-247.41</w:t>
            </w:r>
          </w:p>
        </w:tc>
        <w:tc>
          <w:tcPr>
            <w:tcW w:w="757" w:type="dxa"/>
            <w:noWrap/>
            <w:vAlign w:val="center"/>
            <w:hideMark/>
          </w:tcPr>
          <w:p w14:paraId="26C6581B"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-267.41</w:t>
            </w:r>
          </w:p>
        </w:tc>
        <w:tc>
          <w:tcPr>
            <w:tcW w:w="634" w:type="dxa"/>
            <w:noWrap/>
            <w:vAlign w:val="center"/>
            <w:hideMark/>
          </w:tcPr>
          <w:p w14:paraId="222EBA6F"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0256</w:t>
            </w:r>
          </w:p>
        </w:tc>
        <w:tc>
          <w:tcPr>
            <w:tcW w:w="1123" w:type="dxa"/>
            <w:noWrap/>
            <w:vAlign w:val="center"/>
            <w:hideMark/>
          </w:tcPr>
          <w:p w14:paraId="75B2F7C2"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Eigenbilzen</w:t>
            </w:r>
          </w:p>
        </w:tc>
      </w:tr>
      <w:tr w:rsidR="000A34BE" w:rsidRPr="006F1EEC" w14:paraId="110AB5E3" w14:textId="77777777" w:rsidTr="007C1B79">
        <w:trPr>
          <w:trHeight w:val="340"/>
        </w:trPr>
        <w:tc>
          <w:tcPr>
            <w:tcW w:w="643" w:type="dxa"/>
            <w:noWrap/>
            <w:vAlign w:val="center"/>
            <w:hideMark/>
          </w:tcPr>
          <w:p w14:paraId="07F8009F"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R-54d</w:t>
            </w:r>
          </w:p>
        </w:tc>
        <w:tc>
          <w:tcPr>
            <w:tcW w:w="760" w:type="dxa"/>
            <w:noWrap/>
            <w:vAlign w:val="center"/>
            <w:hideMark/>
          </w:tcPr>
          <w:p w14:paraId="503C85BD"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Niras</w:t>
            </w:r>
          </w:p>
        </w:tc>
        <w:tc>
          <w:tcPr>
            <w:tcW w:w="1142" w:type="dxa"/>
            <w:noWrap/>
            <w:vAlign w:val="center"/>
            <w:hideMark/>
          </w:tcPr>
          <w:p w14:paraId="3CE3836B"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2014-11-28</w:t>
            </w:r>
          </w:p>
        </w:tc>
        <w:tc>
          <w:tcPr>
            <w:tcW w:w="819" w:type="dxa"/>
            <w:noWrap/>
            <w:vAlign w:val="center"/>
            <w:hideMark/>
          </w:tcPr>
          <w:p w14:paraId="7F357EF4"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207948.09</w:t>
            </w:r>
          </w:p>
        </w:tc>
        <w:tc>
          <w:tcPr>
            <w:tcW w:w="990" w:type="dxa"/>
            <w:noWrap/>
            <w:vAlign w:val="center"/>
            <w:hideMark/>
          </w:tcPr>
          <w:p w14:paraId="425443BD"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215708.56</w:t>
            </w:r>
          </w:p>
        </w:tc>
        <w:tc>
          <w:tcPr>
            <w:tcW w:w="615" w:type="dxa"/>
            <w:noWrap/>
            <w:vAlign w:val="center"/>
            <w:hideMark/>
          </w:tcPr>
          <w:p w14:paraId="35B76F1F"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37.56</w:t>
            </w:r>
          </w:p>
        </w:tc>
        <w:tc>
          <w:tcPr>
            <w:tcW w:w="887" w:type="dxa"/>
            <w:noWrap/>
            <w:vAlign w:val="center"/>
            <w:hideMark/>
          </w:tcPr>
          <w:p w14:paraId="592EBA59"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0.06</w:t>
            </w:r>
          </w:p>
        </w:tc>
        <w:tc>
          <w:tcPr>
            <w:tcW w:w="696" w:type="dxa"/>
            <w:noWrap/>
            <w:vAlign w:val="center"/>
            <w:hideMark/>
          </w:tcPr>
          <w:p w14:paraId="70AFCA1C"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-247.44</w:t>
            </w:r>
          </w:p>
        </w:tc>
        <w:tc>
          <w:tcPr>
            <w:tcW w:w="757" w:type="dxa"/>
            <w:noWrap/>
            <w:vAlign w:val="center"/>
            <w:hideMark/>
          </w:tcPr>
          <w:p w14:paraId="22E995F3"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-267.44</w:t>
            </w:r>
          </w:p>
        </w:tc>
        <w:tc>
          <w:tcPr>
            <w:tcW w:w="634" w:type="dxa"/>
            <w:noWrap/>
            <w:vAlign w:val="center"/>
            <w:hideMark/>
          </w:tcPr>
          <w:p w14:paraId="762A55D4"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0256</w:t>
            </w:r>
          </w:p>
        </w:tc>
        <w:tc>
          <w:tcPr>
            <w:tcW w:w="1123" w:type="dxa"/>
            <w:noWrap/>
            <w:vAlign w:val="center"/>
            <w:hideMark/>
          </w:tcPr>
          <w:p w14:paraId="512B9BF4"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Eigenbilzen</w:t>
            </w:r>
          </w:p>
        </w:tc>
      </w:tr>
      <w:tr w:rsidR="000A34BE" w:rsidRPr="006F1EEC" w14:paraId="72898BAC" w14:textId="77777777" w:rsidTr="007C1B79">
        <w:trPr>
          <w:trHeight w:val="340"/>
        </w:trPr>
        <w:tc>
          <w:tcPr>
            <w:tcW w:w="643" w:type="dxa"/>
            <w:noWrap/>
            <w:vAlign w:val="center"/>
            <w:hideMark/>
          </w:tcPr>
          <w:p w14:paraId="62F07B90"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R-54e</w:t>
            </w:r>
          </w:p>
        </w:tc>
        <w:tc>
          <w:tcPr>
            <w:tcW w:w="760" w:type="dxa"/>
            <w:noWrap/>
            <w:vAlign w:val="center"/>
            <w:hideMark/>
          </w:tcPr>
          <w:p w14:paraId="3EC122B2"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Niras</w:t>
            </w:r>
          </w:p>
        </w:tc>
        <w:tc>
          <w:tcPr>
            <w:tcW w:w="1142" w:type="dxa"/>
            <w:noWrap/>
            <w:vAlign w:val="center"/>
            <w:hideMark/>
          </w:tcPr>
          <w:p w14:paraId="125CE946"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2015-01-18</w:t>
            </w:r>
          </w:p>
        </w:tc>
        <w:tc>
          <w:tcPr>
            <w:tcW w:w="819" w:type="dxa"/>
            <w:noWrap/>
            <w:vAlign w:val="center"/>
            <w:hideMark/>
          </w:tcPr>
          <w:p w14:paraId="116DD768"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207939.95</w:t>
            </w:r>
          </w:p>
        </w:tc>
        <w:tc>
          <w:tcPr>
            <w:tcW w:w="990" w:type="dxa"/>
            <w:noWrap/>
            <w:vAlign w:val="center"/>
            <w:hideMark/>
          </w:tcPr>
          <w:p w14:paraId="3DED745E"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215709.89</w:t>
            </w:r>
          </w:p>
        </w:tc>
        <w:tc>
          <w:tcPr>
            <w:tcW w:w="615" w:type="dxa"/>
            <w:noWrap/>
            <w:vAlign w:val="center"/>
            <w:hideMark/>
          </w:tcPr>
          <w:p w14:paraId="59960DD8"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37.7</w:t>
            </w:r>
          </w:p>
        </w:tc>
        <w:tc>
          <w:tcPr>
            <w:tcW w:w="887" w:type="dxa"/>
            <w:noWrap/>
            <w:vAlign w:val="center"/>
            <w:hideMark/>
          </w:tcPr>
          <w:p w14:paraId="6C9DED2F"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0.06</w:t>
            </w:r>
          </w:p>
        </w:tc>
        <w:tc>
          <w:tcPr>
            <w:tcW w:w="696" w:type="dxa"/>
            <w:noWrap/>
            <w:vAlign w:val="center"/>
            <w:hideMark/>
          </w:tcPr>
          <w:p w14:paraId="01A11C7D"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-379.3</w:t>
            </w:r>
          </w:p>
        </w:tc>
        <w:tc>
          <w:tcPr>
            <w:tcW w:w="757" w:type="dxa"/>
            <w:noWrap/>
            <w:vAlign w:val="center"/>
            <w:hideMark/>
          </w:tcPr>
          <w:p w14:paraId="1CCE96FE"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-395.3</w:t>
            </w:r>
          </w:p>
        </w:tc>
        <w:tc>
          <w:tcPr>
            <w:tcW w:w="634" w:type="dxa"/>
            <w:noWrap/>
            <w:vAlign w:val="center"/>
            <w:hideMark/>
          </w:tcPr>
          <w:p w14:paraId="3C834EDD"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0600</w:t>
            </w:r>
          </w:p>
        </w:tc>
        <w:tc>
          <w:tcPr>
            <w:tcW w:w="1123" w:type="dxa"/>
            <w:noWrap/>
            <w:vAlign w:val="center"/>
            <w:hideMark/>
          </w:tcPr>
          <w:p w14:paraId="1475494B"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Brussel/Lede</w:t>
            </w:r>
            <w:r w:rsidRPr="006F1EEC">
              <w:rPr>
                <w:rFonts w:ascii="Calibri" w:hAnsi="Calibri" w:cs="Calibri"/>
                <w:color w:val="000000"/>
                <w:sz w:val="14"/>
                <w:szCs w:val="14"/>
                <w:vertAlign w:val="superscript"/>
              </w:rPr>
              <w:t>(d)</w:t>
            </w:r>
          </w:p>
        </w:tc>
      </w:tr>
      <w:tr w:rsidR="000A34BE" w:rsidRPr="006F1EEC" w14:paraId="1B2F40FD" w14:textId="77777777" w:rsidTr="007C1B79">
        <w:trPr>
          <w:trHeight w:val="340"/>
        </w:trPr>
        <w:tc>
          <w:tcPr>
            <w:tcW w:w="643" w:type="dxa"/>
            <w:tcBorders>
              <w:bottom w:val="single" w:sz="4" w:space="0" w:color="auto"/>
            </w:tcBorders>
            <w:noWrap/>
            <w:vAlign w:val="center"/>
            <w:hideMark/>
          </w:tcPr>
          <w:p w14:paraId="21C045FD"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R-54f</w:t>
            </w:r>
          </w:p>
        </w:tc>
        <w:tc>
          <w:tcPr>
            <w:tcW w:w="760" w:type="dxa"/>
            <w:tcBorders>
              <w:bottom w:val="single" w:sz="4" w:space="0" w:color="auto"/>
            </w:tcBorders>
            <w:noWrap/>
            <w:vAlign w:val="center"/>
            <w:hideMark/>
          </w:tcPr>
          <w:p w14:paraId="6849C22A"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Niras</w:t>
            </w:r>
          </w:p>
        </w:tc>
        <w:tc>
          <w:tcPr>
            <w:tcW w:w="1142" w:type="dxa"/>
            <w:tcBorders>
              <w:bottom w:val="single" w:sz="4" w:space="0" w:color="auto"/>
            </w:tcBorders>
            <w:noWrap/>
            <w:vAlign w:val="center"/>
            <w:hideMark/>
          </w:tcPr>
          <w:p w14:paraId="70AABB7E"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2015-01-18</w:t>
            </w:r>
          </w:p>
        </w:tc>
        <w:tc>
          <w:tcPr>
            <w:tcW w:w="819" w:type="dxa"/>
            <w:tcBorders>
              <w:bottom w:val="single" w:sz="4" w:space="0" w:color="auto"/>
            </w:tcBorders>
            <w:noWrap/>
            <w:vAlign w:val="center"/>
            <w:hideMark/>
          </w:tcPr>
          <w:p w14:paraId="60E7C2BD"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207939.83</w:t>
            </w:r>
          </w:p>
        </w:tc>
        <w:tc>
          <w:tcPr>
            <w:tcW w:w="990" w:type="dxa"/>
            <w:tcBorders>
              <w:bottom w:val="single" w:sz="4" w:space="0" w:color="auto"/>
            </w:tcBorders>
            <w:noWrap/>
            <w:vAlign w:val="center"/>
            <w:hideMark/>
          </w:tcPr>
          <w:p w14:paraId="3626B124"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215709.88</w:t>
            </w:r>
          </w:p>
        </w:tc>
        <w:tc>
          <w:tcPr>
            <w:tcW w:w="615" w:type="dxa"/>
            <w:tcBorders>
              <w:bottom w:val="single" w:sz="4" w:space="0" w:color="auto"/>
            </w:tcBorders>
            <w:noWrap/>
            <w:vAlign w:val="center"/>
            <w:hideMark/>
          </w:tcPr>
          <w:p w14:paraId="05667BD0"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37.6</w:t>
            </w:r>
          </w:p>
        </w:tc>
        <w:tc>
          <w:tcPr>
            <w:tcW w:w="887" w:type="dxa"/>
            <w:tcBorders>
              <w:bottom w:val="single" w:sz="4" w:space="0" w:color="auto"/>
            </w:tcBorders>
            <w:noWrap/>
            <w:vAlign w:val="center"/>
            <w:hideMark/>
          </w:tcPr>
          <w:p w14:paraId="47A883D9"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0.06</w:t>
            </w:r>
          </w:p>
        </w:tc>
        <w:tc>
          <w:tcPr>
            <w:tcW w:w="696" w:type="dxa"/>
            <w:tcBorders>
              <w:bottom w:val="single" w:sz="4" w:space="0" w:color="auto"/>
            </w:tcBorders>
            <w:noWrap/>
            <w:vAlign w:val="center"/>
            <w:hideMark/>
          </w:tcPr>
          <w:p w14:paraId="26D6F8E5"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-537.4</w:t>
            </w:r>
          </w:p>
        </w:tc>
        <w:tc>
          <w:tcPr>
            <w:tcW w:w="757" w:type="dxa"/>
            <w:tcBorders>
              <w:bottom w:val="single" w:sz="4" w:space="0" w:color="auto"/>
            </w:tcBorders>
            <w:noWrap/>
            <w:vAlign w:val="center"/>
            <w:hideMark/>
          </w:tcPr>
          <w:p w14:paraId="20173399"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-573.4</w:t>
            </w:r>
          </w:p>
        </w:tc>
        <w:tc>
          <w:tcPr>
            <w:tcW w:w="634" w:type="dxa"/>
            <w:tcBorders>
              <w:bottom w:val="single" w:sz="4" w:space="0" w:color="auto"/>
            </w:tcBorders>
            <w:noWrap/>
            <w:vAlign w:val="center"/>
            <w:hideMark/>
          </w:tcPr>
          <w:p w14:paraId="35233638"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1010</w:t>
            </w:r>
          </w:p>
        </w:tc>
        <w:tc>
          <w:tcPr>
            <w:tcW w:w="1123" w:type="dxa"/>
            <w:tcBorders>
              <w:bottom w:val="single" w:sz="4" w:space="0" w:color="auto"/>
            </w:tcBorders>
            <w:noWrap/>
            <w:vAlign w:val="center"/>
            <w:hideMark/>
          </w:tcPr>
          <w:p w14:paraId="22E3E0AE" w14:textId="77777777" w:rsidR="000A34BE" w:rsidRPr="006F1EEC" w:rsidRDefault="000A34BE" w:rsidP="007C1B79">
            <w:pPr>
              <w:jc w:val="center"/>
              <w:rPr>
                <w:rFonts w:ascii="Calibri" w:hAnsi="Calibri" w:cs="Calibri"/>
                <w:color w:val="000000"/>
                <w:sz w:val="14"/>
                <w:szCs w:val="14"/>
              </w:rPr>
            </w:pPr>
            <w:r w:rsidRPr="006F1EEC">
              <w:rPr>
                <w:rFonts w:ascii="Calibri" w:hAnsi="Calibri" w:cs="Calibri"/>
                <w:color w:val="000000"/>
                <w:sz w:val="14"/>
                <w:szCs w:val="14"/>
              </w:rPr>
              <w:t>Hannut</w:t>
            </w:r>
            <w:r w:rsidRPr="006F1EEC">
              <w:rPr>
                <w:rFonts w:ascii="Calibri" w:hAnsi="Calibri" w:cs="Calibri"/>
                <w:color w:val="000000"/>
                <w:sz w:val="14"/>
                <w:szCs w:val="14"/>
                <w:vertAlign w:val="superscript"/>
              </w:rPr>
              <w:t>(d)</w:t>
            </w:r>
          </w:p>
        </w:tc>
      </w:tr>
    </w:tbl>
    <w:p w14:paraId="7EDCF236" w14:textId="77777777" w:rsidR="000A34BE" w:rsidRPr="006F1EEC" w:rsidRDefault="000A34BE" w:rsidP="008F2680">
      <w:pPr>
        <w:numPr>
          <w:ilvl w:val="0"/>
          <w:numId w:val="10"/>
        </w:numPr>
        <w:spacing w:after="160" w:line="259" w:lineRule="auto"/>
        <w:contextualSpacing/>
        <w:jc w:val="left"/>
        <w:rPr>
          <w:rFonts w:ascii="Calibri" w:eastAsia="Calibri" w:hAnsi="Calibri"/>
          <w:sz w:val="14"/>
          <w:szCs w:val="14"/>
        </w:rPr>
      </w:pPr>
      <w:r w:rsidRPr="006F1EEC">
        <w:rPr>
          <w:rFonts w:ascii="Calibri" w:eastAsia="Calibri" w:hAnsi="Calibri"/>
          <w:sz w:val="14"/>
          <w:szCs w:val="14"/>
        </w:rPr>
        <w:t>m Lambert 72</w:t>
      </w:r>
    </w:p>
    <w:p w14:paraId="7D450CAE" w14:textId="77777777" w:rsidR="000A34BE" w:rsidRPr="006F1EEC" w:rsidRDefault="000A34BE" w:rsidP="008F2680">
      <w:pPr>
        <w:numPr>
          <w:ilvl w:val="0"/>
          <w:numId w:val="10"/>
        </w:numPr>
        <w:spacing w:after="160" w:line="259" w:lineRule="auto"/>
        <w:contextualSpacing/>
        <w:jc w:val="left"/>
        <w:rPr>
          <w:rFonts w:ascii="Calibri" w:eastAsia="Calibri" w:hAnsi="Calibri"/>
          <w:sz w:val="14"/>
          <w:szCs w:val="14"/>
        </w:rPr>
      </w:pPr>
      <w:r w:rsidRPr="006F1EEC">
        <w:rPr>
          <w:rFonts w:ascii="Calibri" w:eastAsia="Calibri" w:hAnsi="Calibri"/>
          <w:sz w:val="14"/>
          <w:szCs w:val="14"/>
        </w:rPr>
        <w:t>m TAW (Tweede Algemene Waterpassing = m above average sea level)</w:t>
      </w:r>
    </w:p>
    <w:p w14:paraId="5D047435" w14:textId="77777777" w:rsidR="000A34BE" w:rsidRPr="006F1EEC" w:rsidRDefault="000A34BE" w:rsidP="008F2680">
      <w:pPr>
        <w:numPr>
          <w:ilvl w:val="0"/>
          <w:numId w:val="10"/>
        </w:numPr>
        <w:spacing w:after="160" w:line="259" w:lineRule="auto"/>
        <w:contextualSpacing/>
        <w:jc w:val="left"/>
        <w:rPr>
          <w:rFonts w:ascii="Calibri" w:eastAsia="Calibri" w:hAnsi="Calibri"/>
          <w:sz w:val="14"/>
          <w:szCs w:val="14"/>
        </w:rPr>
      </w:pPr>
      <w:r w:rsidRPr="006F1EEC">
        <w:rPr>
          <w:rFonts w:ascii="Calibri" w:eastAsia="Calibri" w:hAnsi="Calibri"/>
          <w:sz w:val="14"/>
          <w:szCs w:val="14"/>
        </w:rPr>
        <w:t>m</w:t>
      </w:r>
    </w:p>
    <w:p w14:paraId="0EEAFEFB" w14:textId="77777777" w:rsidR="000A34BE" w:rsidRPr="006F1EEC" w:rsidRDefault="000A34BE" w:rsidP="008F2680">
      <w:pPr>
        <w:numPr>
          <w:ilvl w:val="0"/>
          <w:numId w:val="10"/>
        </w:numPr>
        <w:spacing w:after="160" w:line="259" w:lineRule="auto"/>
        <w:contextualSpacing/>
        <w:jc w:val="left"/>
        <w:rPr>
          <w:rFonts w:ascii="Calibri" w:eastAsia="Calibri" w:hAnsi="Calibri"/>
          <w:sz w:val="14"/>
          <w:szCs w:val="14"/>
        </w:rPr>
      </w:pPr>
      <w:r w:rsidRPr="006F1EEC">
        <w:rPr>
          <w:rFonts w:ascii="Calibri" w:eastAsia="Calibri" w:hAnsi="Calibri"/>
          <w:sz w:val="14"/>
          <w:szCs w:val="14"/>
        </w:rPr>
        <w:t>tentative assignment</w:t>
      </w:r>
    </w:p>
    <w:p w14:paraId="6844A1F9" w14:textId="77777777" w:rsidR="000A34BE" w:rsidRPr="006F1EEC" w:rsidRDefault="000A34BE" w:rsidP="000A34BE"/>
    <w:p w14:paraId="1789120F" w14:textId="77777777" w:rsidR="000A34BE" w:rsidRPr="006F1EEC" w:rsidRDefault="000A34BE" w:rsidP="00186468">
      <w:pPr>
        <w:pStyle w:val="Overskrift2"/>
      </w:pPr>
      <w:bookmarkStart w:id="81" w:name="_Toc14425399"/>
      <w:r w:rsidRPr="006F1EEC">
        <w:t>Available information</w:t>
      </w:r>
      <w:bookmarkEnd w:id="81"/>
    </w:p>
    <w:p w14:paraId="00868386" w14:textId="78BCBC81" w:rsidR="000A34BE" w:rsidRPr="006F1EEC" w:rsidRDefault="004F3D3A" w:rsidP="000A34BE">
      <w:r w:rsidRPr="004F3D3A">
        <w:t xml:space="preserve">There is no specific information for the Rauw fault site in relation to pathways from deep energy activities to shallow groundwater. The objective of the study is to investigate the impact of the fault on the local and regional groundwater flow. The shallow geometry of the fault has recently been investigated by Verbeeck et al. (2017). The deep geometry and hydrostratigraphy </w:t>
      </w:r>
      <w:r w:rsidR="001C3CC7">
        <w:t>were</w:t>
      </w:r>
      <w:r w:rsidR="001C3CC7" w:rsidRPr="004F3D3A">
        <w:t xml:space="preserve"> </w:t>
      </w:r>
      <w:r w:rsidRPr="004F3D3A">
        <w:t xml:space="preserve">mapped during the H3O – De Kempen project (Vernes et al., 2018). In addition, the available hydrogeological models provide a good starting basis for simulating flow and transport (e.g., Gedeon et al., 2007; Vandersteen et al., 2014). Detailed hydraulic properties of the clay smearing within the fault itself are available from air permeability measurements performed when the fault was exposed in the palaeoseismological trench in 2014 (see supplementary material in Verbeeck et al., 2017; Verbeeck, 2019). </w:t>
      </w:r>
    </w:p>
    <w:p w14:paraId="43705664" w14:textId="77777777" w:rsidR="000A34BE" w:rsidRPr="006F1EEC" w:rsidRDefault="000A34BE" w:rsidP="000A34BE">
      <w:r w:rsidRPr="006F1EEC">
        <w:t xml:space="preserve"> </w:t>
      </w:r>
    </w:p>
    <w:p w14:paraId="1FF9718A" w14:textId="77777777" w:rsidR="000A34BE" w:rsidRPr="006F1EEC" w:rsidRDefault="000A34BE" w:rsidP="00186468">
      <w:pPr>
        <w:pStyle w:val="Overskrift2"/>
      </w:pPr>
      <w:bookmarkStart w:id="82" w:name="_Toc14159863"/>
      <w:bookmarkStart w:id="83" w:name="_Toc14160485"/>
      <w:bookmarkStart w:id="84" w:name="_Toc14425400"/>
      <w:bookmarkEnd w:id="82"/>
      <w:bookmarkEnd w:id="83"/>
      <w:r w:rsidRPr="006F1EEC">
        <w:t>Information gaps</w:t>
      </w:r>
      <w:bookmarkEnd w:id="84"/>
    </w:p>
    <w:p w14:paraId="2E4CFB19" w14:textId="08D7132F" w:rsidR="00772460" w:rsidRDefault="000A34BE" w:rsidP="00772460">
      <w:r w:rsidRPr="006F1EEC">
        <w:t xml:space="preserve">There is no detailed information on </w:t>
      </w:r>
      <w:r w:rsidR="001C3CC7">
        <w:t xml:space="preserve">groundwater </w:t>
      </w:r>
      <w:r w:rsidRPr="006F1EEC">
        <w:t xml:space="preserve">flow patterns in the immediate vicinity of the fault (see </w:t>
      </w:r>
      <w:r w:rsidRPr="006F1EEC">
        <w:fldChar w:fldCharType="begin"/>
      </w:r>
      <w:r w:rsidRPr="006F1EEC">
        <w:instrText xml:space="preserve"> REF _Ref532982712 \h </w:instrText>
      </w:r>
      <w:r w:rsidRPr="006F1EEC">
        <w:fldChar w:fldCharType="separate"/>
      </w:r>
      <w:r w:rsidR="00734A2A" w:rsidRPr="006F1EEC">
        <w:t xml:space="preserve">Figure </w:t>
      </w:r>
      <w:r w:rsidR="00734A2A">
        <w:rPr>
          <w:noProof/>
        </w:rPr>
        <w:t>20</w:t>
      </w:r>
      <w:r w:rsidRPr="006F1EEC">
        <w:fldChar w:fldCharType="end"/>
      </w:r>
      <w:r w:rsidRPr="006F1EEC">
        <w:t xml:space="preserve">). </w:t>
      </w:r>
      <w:r w:rsidR="004F3D3A" w:rsidRPr="004F3D3A">
        <w:t>This is mainly due to the lack of detailed physico-chemcial state variable information in the surrounding area. Groundwater head observations on either side of the fault only started in 2015 while hydrochemical data, groundwater ages and other tracing information are lacking all together.</w:t>
      </w:r>
    </w:p>
    <w:p w14:paraId="3AC5B81B" w14:textId="77777777" w:rsidR="004F3D3A" w:rsidRPr="006F1EEC" w:rsidRDefault="004F3D3A" w:rsidP="00772460"/>
    <w:p w14:paraId="5A49BE07" w14:textId="77777777" w:rsidR="00772460" w:rsidRPr="006F1EEC" w:rsidRDefault="00772460" w:rsidP="00772460">
      <w:pPr>
        <w:pStyle w:val="Overskrift2"/>
      </w:pPr>
      <w:bookmarkStart w:id="85" w:name="_Toc14425401"/>
      <w:r>
        <w:t>Data collection plan</w:t>
      </w:r>
      <w:bookmarkEnd w:id="85"/>
    </w:p>
    <w:p w14:paraId="1B21279B" w14:textId="5DAFCA59" w:rsidR="00772460" w:rsidRDefault="004F3D3A" w:rsidP="00772460">
      <w:r w:rsidRPr="004F3D3A">
        <w:t>In order to fill this information gap, the piezometer nest will be subjected to a sampling campaign for groundwater tracing. This is done in the framework of a PhD study (UGent-SCK•CEN), and financially supported by ONDRAF/NIRAS (Casillas-Trasvina, 2019). As foreseen in March 2019, samples will be taken for hydrochemical analysis and groundwater dating (</w:t>
      </w:r>
      <w:r w:rsidR="00157199" w:rsidRPr="00157199">
        <w:rPr>
          <w:vertAlign w:val="superscript"/>
        </w:rPr>
        <w:t>14</w:t>
      </w:r>
      <w:r w:rsidRPr="004F3D3A">
        <w:t xml:space="preserve">C, </w:t>
      </w:r>
      <w:r w:rsidR="00157199" w:rsidRPr="00157199">
        <w:rPr>
          <w:vertAlign w:val="superscript"/>
        </w:rPr>
        <w:t>4</w:t>
      </w:r>
      <w:r w:rsidRPr="004F3D3A">
        <w:t xml:space="preserve">He, </w:t>
      </w:r>
      <w:r w:rsidR="00157199" w:rsidRPr="00157199">
        <w:rPr>
          <w:vertAlign w:val="superscript"/>
        </w:rPr>
        <w:t>3</w:t>
      </w:r>
      <w:r w:rsidRPr="004F3D3A">
        <w:t>H) and temperature profiling will be performed. Meanwhile, the groundwater head observations in the wells will continue.</w:t>
      </w:r>
      <w:r>
        <w:t xml:space="preserve"> </w:t>
      </w:r>
    </w:p>
    <w:p w14:paraId="15996430" w14:textId="1AC780C8" w:rsidR="001D720D" w:rsidRDefault="00DA1721" w:rsidP="00157199">
      <w:pPr>
        <w:pStyle w:val="Overskrift1"/>
      </w:pPr>
      <w:bookmarkStart w:id="86" w:name="_Toc14425402"/>
      <w:r>
        <w:t>Concluding Remarks</w:t>
      </w:r>
      <w:bookmarkEnd w:id="86"/>
    </w:p>
    <w:p w14:paraId="315E74C1" w14:textId="77777777" w:rsidR="00501C5D" w:rsidRDefault="00501C5D">
      <w:r>
        <w:t xml:space="preserve">The data collection plans for the pilots are the basis for acquiring further information which will be combined with the existing knowledge to evaluate the potential pathways in the subsurface that could connect energy related activities to groundwater resources. </w:t>
      </w:r>
      <w:r w:rsidR="00CF217F">
        <w:t xml:space="preserve">The results from the pilot studies will be </w:t>
      </w:r>
      <w:r>
        <w:t xml:space="preserve">evaluated using the conceptual framework for vulnerability characterisation which will be developed in work package 4 of VoGERA (Loveless et al., 2019). </w:t>
      </w:r>
    </w:p>
    <w:p w14:paraId="29DAF4EA" w14:textId="7917CCE3" w:rsidR="00CF217F" w:rsidRPr="00CF217F" w:rsidRDefault="00501C5D">
      <w:r>
        <w:t xml:space="preserve">The insights will be </w:t>
      </w:r>
      <w:r w:rsidR="00CF217F">
        <w:t xml:space="preserve">brought together to </w:t>
      </w:r>
      <w:r>
        <w:t>generalize the</w:t>
      </w:r>
      <w:r w:rsidR="00CF217F">
        <w:t xml:space="preserve"> assessments about subsurface contamination pathways from deep sub-surface energy activities to groundwater</w:t>
      </w:r>
      <w:r>
        <w:t xml:space="preserve"> resources</w:t>
      </w:r>
      <w:r w:rsidR="00CF217F">
        <w:t xml:space="preserve"> in a range of different hydrogeological environments. This will </w:t>
      </w:r>
      <w:r>
        <w:t>fill in the VoGERA objectives</w:t>
      </w:r>
      <w:r w:rsidR="00CF217F">
        <w:t xml:space="preserve"> to elucidate process understanding and provide a basis for </w:t>
      </w:r>
      <w:r w:rsidR="00157199">
        <w:t>assessment of the vulnerability of</w:t>
      </w:r>
      <w:r w:rsidR="00CF217F">
        <w:t xml:space="preserve"> groundwater </w:t>
      </w:r>
      <w:r w:rsidR="00157199">
        <w:t>resources from energy-related activities</w:t>
      </w:r>
      <w:r w:rsidR="00CF217F">
        <w:t xml:space="preserve">. </w:t>
      </w:r>
    </w:p>
    <w:p w14:paraId="32BFBFD3" w14:textId="1C57A1F6" w:rsidR="00AC20DC" w:rsidRPr="006F1EEC" w:rsidRDefault="00AC20DC" w:rsidP="00AC20DC">
      <w:pPr>
        <w:pStyle w:val="Overskrift1"/>
      </w:pPr>
      <w:bookmarkStart w:id="87" w:name="_Toc14425403"/>
      <w:r w:rsidRPr="006F1EEC">
        <w:t>REFERENCES</w:t>
      </w:r>
      <w:bookmarkEnd w:id="87"/>
    </w:p>
    <w:p w14:paraId="53A10298" w14:textId="77777777" w:rsidR="00D83385" w:rsidRDefault="00E00593" w:rsidP="006C55F3">
      <w:pPr>
        <w:ind w:left="709" w:hanging="709"/>
      </w:pPr>
      <w:r w:rsidRPr="006C55F3">
        <w:rPr>
          <w:caps/>
        </w:rPr>
        <w:t>Al-Jubori, Ahmed; Johnston, Sean; Boyer, Chuck; Lambert, Stephen W.; Bustos, Oscar A.; Pashin</w:t>
      </w:r>
      <w:r w:rsidR="006C55F3" w:rsidRPr="006C55F3">
        <w:rPr>
          <w:caps/>
        </w:rPr>
        <w:t>, Jack C.;</w:t>
      </w:r>
      <w:r w:rsidRPr="006C55F3">
        <w:rPr>
          <w:caps/>
        </w:rPr>
        <w:t xml:space="preserve"> Wray</w:t>
      </w:r>
      <w:r w:rsidR="006C55F3" w:rsidRPr="006C55F3">
        <w:rPr>
          <w:caps/>
        </w:rPr>
        <w:t>, Andy</w:t>
      </w:r>
      <w:r w:rsidR="006C55F3">
        <w:t xml:space="preserve"> (2009)</w:t>
      </w:r>
      <w:r w:rsidR="00AC20DC" w:rsidRPr="006F1EEC">
        <w:t xml:space="preserve"> </w:t>
      </w:r>
      <w:r w:rsidR="006C55F3" w:rsidRPr="006C55F3">
        <w:t>Coalbed Methane:</w:t>
      </w:r>
      <w:r w:rsidR="006C55F3">
        <w:t xml:space="preserve"> </w:t>
      </w:r>
      <w:r w:rsidR="006C55F3" w:rsidRPr="006C55F3">
        <w:t>Clean Energy for the World</w:t>
      </w:r>
      <w:r w:rsidR="006C55F3">
        <w:t xml:space="preserve">, </w:t>
      </w:r>
      <w:r w:rsidR="006C55F3" w:rsidRPr="006C55F3">
        <w:t>Oilfield Review</w:t>
      </w:r>
      <w:r w:rsidR="006C55F3">
        <w:t>, Volume</w:t>
      </w:r>
      <w:r w:rsidR="006C55F3" w:rsidRPr="006C55F3">
        <w:t xml:space="preserve"> 21, </w:t>
      </w:r>
      <w:r w:rsidR="006C55F3">
        <w:t>Number</w:t>
      </w:r>
      <w:r w:rsidR="006C55F3" w:rsidRPr="006C55F3">
        <w:t xml:space="preserve"> 2</w:t>
      </w:r>
      <w:r w:rsidR="006C55F3">
        <w:t>, Pages 4-13</w:t>
      </w:r>
      <w:r w:rsidR="00D83385">
        <w:t>.</w:t>
      </w:r>
    </w:p>
    <w:p w14:paraId="012EBDC0" w14:textId="5CF46F45" w:rsidR="00AC20DC" w:rsidRDefault="00D83385" w:rsidP="006C55F3">
      <w:pPr>
        <w:ind w:left="709" w:hanging="709"/>
      </w:pPr>
      <w:r w:rsidRPr="00D83385">
        <w:rPr>
          <w:caps/>
        </w:rPr>
        <w:t>Aller, Linda; Bennett, Truman; Lehr, Jay H</w:t>
      </w:r>
      <w:r w:rsidR="00AC20DC" w:rsidRPr="00D83385">
        <w:rPr>
          <w:caps/>
        </w:rPr>
        <w:t>.</w:t>
      </w:r>
      <w:r w:rsidRPr="00D83385">
        <w:rPr>
          <w:caps/>
        </w:rPr>
        <w:t>; Petty, Rebecca J.</w:t>
      </w:r>
      <w:r>
        <w:t xml:space="preserve"> (1985) DRASTIC: A Standardized System for Evaluating Ground Water Pollution Potential Using Hydrogeologic Settings, EPA/600/2-85/018, United States Environmental Protection Agency, Robert S. Kerr Environmental Research Laboratory, Ada OK, USA.</w:t>
      </w:r>
    </w:p>
    <w:p w14:paraId="501DEED1" w14:textId="0840E044" w:rsidR="00C12C99" w:rsidRPr="006F1EEC" w:rsidRDefault="00C12C99" w:rsidP="00D230D8">
      <w:pPr>
        <w:ind w:left="709" w:hanging="709"/>
      </w:pPr>
      <w:r w:rsidRPr="00C12C99">
        <w:rPr>
          <w:caps/>
        </w:rPr>
        <w:t>Andrews, J. N.; Burgess, W. G.; Edmunds, W. M.; Kay, R. L. F.; Lee, D. J.</w:t>
      </w:r>
      <w:r w:rsidRPr="00C12C99">
        <w:t xml:space="preserve"> (1982) The thermal springs of Bath, Nature, Volume 298, Pages 339-343</w:t>
      </w:r>
      <w:r>
        <w:t>.</w:t>
      </w:r>
    </w:p>
    <w:p w14:paraId="3AD7E599" w14:textId="48A51E69" w:rsidR="00E85684" w:rsidRPr="006F1EEC" w:rsidRDefault="00E85684" w:rsidP="00D230D8">
      <w:pPr>
        <w:ind w:left="709" w:hanging="709"/>
      </w:pPr>
      <w:r w:rsidRPr="006F1EEC">
        <w:t>BEARCOCK, J.B., SMEDLEY, P.L., MILNE, C.J (2015) Baseline groundwater chemistry: the Corallian of the Vale of Pickering, Yorkshire.  BGS Open Report, OR/15/048.</w:t>
      </w:r>
    </w:p>
    <w:p w14:paraId="1161F755" w14:textId="77777777" w:rsidR="007C1B79" w:rsidRPr="006F1EEC" w:rsidRDefault="007C1B79" w:rsidP="00D230D8">
      <w:pPr>
        <w:ind w:left="709" w:hanging="709"/>
      </w:pPr>
      <w:r w:rsidRPr="006F1EEC">
        <w:rPr>
          <w:caps/>
        </w:rPr>
        <w:t>Beerten, K., De Craen, M., Wouters, L. (</w:t>
      </w:r>
      <w:r w:rsidRPr="006F1EEC">
        <w:t>2013) Patterns and estimates of post-Rupelian burial and erosion in the Campine area, north-eastern Belgium. Physics and Chemistry of the Earth 64, 12–20.</w:t>
      </w:r>
    </w:p>
    <w:p w14:paraId="3A98C921" w14:textId="4B4E20AB" w:rsidR="00E85684" w:rsidRPr="006F1EEC" w:rsidRDefault="00E85684" w:rsidP="00D230D8">
      <w:pPr>
        <w:ind w:left="709" w:hanging="709"/>
      </w:pPr>
      <w:r w:rsidRPr="006F1EEC">
        <w:t>BELL, R.A., DARLING, W.G., Manamsa, K., Dochartaigh. B. É. Ó. (2016) The Baseline Concentrations of Methane in Great British Groundwater - the National Methane Baseline Survey. British Geological Survey Open Report, OR/15/071. 45pp</w:t>
      </w:r>
    </w:p>
    <w:p w14:paraId="75DDC46B" w14:textId="3EE5F74F" w:rsidR="009F2459" w:rsidRDefault="009F2459" w:rsidP="00D230D8">
      <w:pPr>
        <w:ind w:left="709" w:hanging="709"/>
      </w:pPr>
      <w:r w:rsidRPr="009F2459">
        <w:rPr>
          <w:caps/>
        </w:rPr>
        <w:t>Bense, V.F., van Balen, R.T., de Vries, J.J.</w:t>
      </w:r>
      <w:r w:rsidRPr="009F2459">
        <w:t xml:space="preserve"> (2003) The impact of faults on the hydrogeological conditions in the Roer Valley Rift System: an overview, Netherlands Journal of Geosciences, </w:t>
      </w:r>
      <w:r w:rsidR="00AE339E">
        <w:t xml:space="preserve">Vol. </w:t>
      </w:r>
      <w:r w:rsidRPr="009F2459">
        <w:t>82</w:t>
      </w:r>
      <w:r w:rsidR="00AE339E">
        <w:t xml:space="preserve">, No. 1, </w:t>
      </w:r>
      <w:r w:rsidRPr="009F2459">
        <w:t xml:space="preserve"> </w:t>
      </w:r>
      <w:r w:rsidR="00AE339E">
        <w:t xml:space="preserve">Pages </w:t>
      </w:r>
      <w:r w:rsidRPr="009F2459">
        <w:t>41-54</w:t>
      </w:r>
      <w:r w:rsidR="00AE339E">
        <w:t>.</w:t>
      </w:r>
    </w:p>
    <w:p w14:paraId="45F9A00C" w14:textId="15943543" w:rsidR="00AE339E" w:rsidRDefault="002D0022" w:rsidP="00D230D8">
      <w:pPr>
        <w:ind w:left="709" w:hanging="709"/>
      </w:pPr>
      <w:r w:rsidRPr="002D0022">
        <w:t xml:space="preserve">BENSE, V., GLEESON, T., LOVELESS, S., BOUR, O., SCIBEK, J. (2013) Fault zone hydrogeology, Earth-Science Reviews, </w:t>
      </w:r>
      <w:r w:rsidR="00AE339E">
        <w:t xml:space="preserve">Vol. </w:t>
      </w:r>
      <w:r w:rsidRPr="002D0022">
        <w:t>127</w:t>
      </w:r>
      <w:r w:rsidR="00AE339E">
        <w:t>, Pages</w:t>
      </w:r>
      <w:r w:rsidRPr="002D0022">
        <w:t xml:space="preserve"> 171-192</w:t>
      </w:r>
      <w:r w:rsidR="00AE339E">
        <w:t>.</w:t>
      </w:r>
    </w:p>
    <w:p w14:paraId="24DE3BA7" w14:textId="77777777" w:rsidR="00215384" w:rsidRDefault="00AE339E" w:rsidP="00D230D8">
      <w:pPr>
        <w:ind w:left="709" w:hanging="709"/>
      </w:pPr>
      <w:r w:rsidRPr="00AE339E">
        <w:rPr>
          <w:caps/>
        </w:rPr>
        <w:t xml:space="preserve">Bhutto, Abdul Waheed; Bazmi, Aqeel Ahmed; Zahedi, Gholamreza </w:t>
      </w:r>
      <w:r>
        <w:t xml:space="preserve">(2013) </w:t>
      </w:r>
      <w:r w:rsidRPr="00AE339E">
        <w:t>Underground coal gasification: From fundamentals to applications</w:t>
      </w:r>
      <w:r>
        <w:t xml:space="preserve">, </w:t>
      </w:r>
      <w:r w:rsidRPr="00AE339E">
        <w:t xml:space="preserve">Progress in Energy and Combustion Science </w:t>
      </w:r>
      <w:r>
        <w:t xml:space="preserve">Vol. </w:t>
      </w:r>
      <w:r w:rsidRPr="00AE339E">
        <w:t>39</w:t>
      </w:r>
      <w:r>
        <w:t>,</w:t>
      </w:r>
      <w:r w:rsidRPr="00AE339E">
        <w:t xml:space="preserve"> </w:t>
      </w:r>
      <w:r>
        <w:t xml:space="preserve">Pages: </w:t>
      </w:r>
      <w:r w:rsidRPr="00AE339E">
        <w:t>189</w:t>
      </w:r>
      <w:r>
        <w:t>-</w:t>
      </w:r>
      <w:r w:rsidRPr="00AE339E">
        <w:t>214</w:t>
      </w:r>
      <w:r w:rsidR="00215384">
        <w:t>.</w:t>
      </w:r>
    </w:p>
    <w:p w14:paraId="67805B3F" w14:textId="77777777" w:rsidR="00440B38" w:rsidRDefault="00215384" w:rsidP="00215384">
      <w:pPr>
        <w:ind w:left="709" w:hanging="709"/>
      </w:pPr>
      <w:r w:rsidRPr="00215384">
        <w:rPr>
          <w:caps/>
        </w:rPr>
        <w:t>Birdsell, D. T.; Rajaram, H.; Dempsey, D.; Viswanathan, H. S.</w:t>
      </w:r>
      <w:r w:rsidRPr="00215384">
        <w:t xml:space="preserve"> (2015)</w:t>
      </w:r>
      <w:r>
        <w:t xml:space="preserve"> </w:t>
      </w:r>
      <w:r w:rsidRPr="00215384">
        <w:t>Hydraulic fracturing fluid migration in</w:t>
      </w:r>
      <w:r>
        <w:t xml:space="preserve"> </w:t>
      </w:r>
      <w:r w:rsidRPr="00215384">
        <w:t>the subsurface: A review and</w:t>
      </w:r>
      <w:r>
        <w:t xml:space="preserve"> </w:t>
      </w:r>
      <w:r w:rsidRPr="00215384">
        <w:t>expanded modeling results, Water</w:t>
      </w:r>
      <w:r>
        <w:t xml:space="preserve"> </w:t>
      </w:r>
      <w:r w:rsidRPr="00215384">
        <w:t>Resour</w:t>
      </w:r>
      <w:r>
        <w:t>ces</w:t>
      </w:r>
      <w:r w:rsidRPr="00215384">
        <w:t xml:space="preserve"> Res</w:t>
      </w:r>
      <w:r>
        <w:t>earch</w:t>
      </w:r>
      <w:r w:rsidRPr="00215384">
        <w:t xml:space="preserve">, </w:t>
      </w:r>
      <w:r>
        <w:t xml:space="preserve">Volume </w:t>
      </w:r>
      <w:r w:rsidRPr="00215384">
        <w:t xml:space="preserve">51, </w:t>
      </w:r>
      <w:r>
        <w:t xml:space="preserve">Pages </w:t>
      </w:r>
      <w:r w:rsidRPr="00215384">
        <w:t>7159–7188,</w:t>
      </w:r>
      <w:r>
        <w:t xml:space="preserve"> </w:t>
      </w:r>
      <w:r w:rsidRPr="00215384">
        <w:t>doi:10.1002/2015WR017810</w:t>
      </w:r>
      <w:r w:rsidR="00440B38">
        <w:t>.</w:t>
      </w:r>
    </w:p>
    <w:p w14:paraId="226C0D24" w14:textId="28A94058" w:rsidR="003A0799" w:rsidRDefault="00440B38" w:rsidP="00215384">
      <w:pPr>
        <w:ind w:left="709" w:hanging="709"/>
      </w:pPr>
      <w:r w:rsidRPr="00440B38">
        <w:rPr>
          <w:caps/>
        </w:rPr>
        <w:t>Blinderman, M.S.; Jones, R.M.</w:t>
      </w:r>
      <w:r>
        <w:t xml:space="preserve"> (</w:t>
      </w:r>
      <w:r w:rsidRPr="00440B38">
        <w:t>2002</w:t>
      </w:r>
      <w:r>
        <w:t>)</w:t>
      </w:r>
      <w:r w:rsidRPr="00440B38">
        <w:t xml:space="preserve"> The Chinchilla IGCC Project to Date: UCG and Environment, 2002 Gasification Technologies Conference, San Francisco, USA, October 27-30, 2002</w:t>
      </w:r>
      <w:r w:rsidR="003A0799">
        <w:t>.</w:t>
      </w:r>
    </w:p>
    <w:p w14:paraId="3975094E" w14:textId="6B0DADD9" w:rsidR="002D0022" w:rsidRDefault="003A0799" w:rsidP="00D230D8">
      <w:pPr>
        <w:ind w:left="709" w:hanging="709"/>
      </w:pPr>
      <w:r w:rsidRPr="003A0799">
        <w:rPr>
          <w:caps/>
        </w:rPr>
        <w:t>Burton, E.</w:t>
      </w:r>
      <w:r>
        <w:rPr>
          <w:caps/>
        </w:rPr>
        <w:t>;</w:t>
      </w:r>
      <w:r w:rsidRPr="003A0799">
        <w:rPr>
          <w:caps/>
        </w:rPr>
        <w:t xml:space="preserve"> Friedmann, J.</w:t>
      </w:r>
      <w:r>
        <w:rPr>
          <w:caps/>
        </w:rPr>
        <w:t>;</w:t>
      </w:r>
      <w:r w:rsidRPr="003A0799">
        <w:rPr>
          <w:caps/>
        </w:rPr>
        <w:t xml:space="preserve"> Upadhye, R.</w:t>
      </w:r>
      <w:r w:rsidRPr="003A0799">
        <w:t xml:space="preserve"> (2007) Best Practices in Underground Coal Gasification. Lawrence Livermore National Laboratory, USA</w:t>
      </w:r>
      <w:r w:rsidR="002D0022" w:rsidRPr="002D0022">
        <w:t>.</w:t>
      </w:r>
    </w:p>
    <w:p w14:paraId="3BBDEFCC" w14:textId="77777777" w:rsidR="00FB2327" w:rsidRDefault="004F3D3A" w:rsidP="00D230D8">
      <w:pPr>
        <w:ind w:left="709" w:hanging="709"/>
      </w:pPr>
      <w:r w:rsidRPr="004F3D3A">
        <w:t>CASILLAS-TRASVINA, A. (2019) Joint inversion of physical and chemical state variable data within a multi-model subsurface hydrology framework. PhD Research Plan. Universiteit Gent, 21 pp</w:t>
      </w:r>
      <w:r w:rsidR="00FB2327">
        <w:t>.</w:t>
      </w:r>
    </w:p>
    <w:p w14:paraId="5B580379" w14:textId="668D63D2" w:rsidR="004756CE" w:rsidRDefault="00FB2327" w:rsidP="00FB2327">
      <w:pPr>
        <w:ind w:left="709" w:hanging="709"/>
      </w:pPr>
      <w:r w:rsidRPr="00FB2327">
        <w:rPr>
          <w:caps/>
        </w:rPr>
        <w:t xml:space="preserve">Council of Canadian Academies </w:t>
      </w:r>
      <w:r>
        <w:t>(</w:t>
      </w:r>
      <w:r w:rsidRPr="00FB2327">
        <w:t>2014</w:t>
      </w:r>
      <w:r>
        <w:t>)</w:t>
      </w:r>
      <w:r w:rsidRPr="00FB2327">
        <w:t xml:space="preserve"> Environmental Impacts</w:t>
      </w:r>
      <w:r>
        <w:t xml:space="preserve"> </w:t>
      </w:r>
      <w:r w:rsidRPr="00FB2327">
        <w:t>of Shale Gas Extraction in Canada. Ottawa (ON): The Expert Panel on Harnessing Science</w:t>
      </w:r>
      <w:r>
        <w:t xml:space="preserve"> </w:t>
      </w:r>
      <w:r w:rsidRPr="00FB2327">
        <w:t>and Technology to Understand the Environmental Impacts of Shale Gas Extraction,</w:t>
      </w:r>
      <w:r>
        <w:t xml:space="preserve"> </w:t>
      </w:r>
      <w:r w:rsidRPr="00FB2327">
        <w:t>Council of Canadian Academies</w:t>
      </w:r>
      <w:r>
        <w:t>, Ottawa, Canada</w:t>
      </w:r>
      <w:r w:rsidR="004756CE">
        <w:t>.</w:t>
      </w:r>
    </w:p>
    <w:p w14:paraId="10FBE8D3" w14:textId="65BCC658" w:rsidR="004F3D3A" w:rsidRDefault="004756CE" w:rsidP="004756CE">
      <w:pPr>
        <w:ind w:left="709" w:hanging="709"/>
      </w:pPr>
      <w:r w:rsidRPr="00FA0FDF">
        <w:rPr>
          <w:caps/>
        </w:rPr>
        <w:t xml:space="preserve">Davies, Richard J.; Almond, Sam; Ward, Robert S.; Jackson, Robert B.; Adams, Charlotte; Worrall, Fred; Herringshaw, Liam G.; Gluyas, Jon G.; Whitehead, Mark A. </w:t>
      </w:r>
      <w:r>
        <w:t xml:space="preserve">(2014) </w:t>
      </w:r>
      <w:r w:rsidRPr="004756CE">
        <w:t>Oil and gas wells and their integrity: Implications for shale and</w:t>
      </w:r>
      <w:r>
        <w:t xml:space="preserve"> </w:t>
      </w:r>
      <w:r w:rsidRPr="004756CE">
        <w:t>unconventional resource exploitation</w:t>
      </w:r>
      <w:r>
        <w:t xml:space="preserve">, Marine and Petroleum Geology, Volume 56, Pages 239-254, </w:t>
      </w:r>
      <w:hyperlink r:id="rId37" w:history="1">
        <w:r w:rsidR="00025EB8" w:rsidRPr="006E4C88">
          <w:rPr>
            <w:rStyle w:val="Hyperlink"/>
          </w:rPr>
          <w:t>http://dx.doi.org/10.1016/j.marpetgeo.2014.03.001</w:t>
        </w:r>
      </w:hyperlink>
      <w:r w:rsidR="004F3D3A" w:rsidRPr="004F3D3A">
        <w:t>.</w:t>
      </w:r>
    </w:p>
    <w:p w14:paraId="0BD86D55" w14:textId="16120646" w:rsidR="00025EB8" w:rsidRDefault="00025EB8" w:rsidP="00025EB8">
      <w:pPr>
        <w:ind w:left="709" w:hanging="709"/>
      </w:pPr>
      <w:r w:rsidRPr="00FA0FDF">
        <w:rPr>
          <w:caps/>
        </w:rPr>
        <w:t xml:space="preserve">Davies, Richard J.; Almond, Sam; Ward, Robert S.; Jackson, Robert B.; Adams, Charlotte; Worrall, Fred; Herringshaw, Liam G.; Gluyas, Jon G.; Whitehead, Mark A. </w:t>
      </w:r>
      <w:r>
        <w:t xml:space="preserve">(2015) </w:t>
      </w:r>
      <w:r w:rsidRPr="00025EB8">
        <w:t>Reply: “Oil and gas wells and their integrity: Implications for shale and</w:t>
      </w:r>
      <w:r>
        <w:t xml:space="preserve"> </w:t>
      </w:r>
      <w:r w:rsidRPr="00025EB8">
        <w:t>unconventional resource exploitation”</w:t>
      </w:r>
      <w:r>
        <w:t xml:space="preserve">, </w:t>
      </w:r>
      <w:r w:rsidRPr="00025EB8">
        <w:t>Marine and Petroleum Geolo</w:t>
      </w:r>
      <w:r>
        <w:t>gy, Volume 59, Pages 674-</w:t>
      </w:r>
      <w:r w:rsidRPr="00025EB8">
        <w:t>675</w:t>
      </w:r>
      <w:r>
        <w:t xml:space="preserve">, </w:t>
      </w:r>
      <w:hyperlink r:id="rId38" w:history="1">
        <w:r w:rsidRPr="006E4C88">
          <w:rPr>
            <w:rStyle w:val="Hyperlink"/>
          </w:rPr>
          <w:t>http://dx.doi.org/10.1016/j.marpetgeo.2014.07.014</w:t>
        </w:r>
      </w:hyperlink>
      <w:r>
        <w:t>.</w:t>
      </w:r>
    </w:p>
    <w:p w14:paraId="0D7DDA40" w14:textId="77777777" w:rsidR="006B58A9" w:rsidRDefault="00A0681D" w:rsidP="00D230D8">
      <w:pPr>
        <w:ind w:left="709" w:hanging="709"/>
      </w:pPr>
      <w:r w:rsidRPr="00A0681D">
        <w:rPr>
          <w:caps/>
        </w:rPr>
        <w:t>De Ridder, N.A., Hondius, P., Hellings, A.J.</w:t>
      </w:r>
      <w:r>
        <w:t xml:space="preserve"> (1967) Hydrogeological Investigations of the Peel Region and Its Environs, Technical Bulletin 48, Institute for Land and Water Management Research, Wageningen, the Netherlands</w:t>
      </w:r>
      <w:r w:rsidR="006B58A9">
        <w:t>.</w:t>
      </w:r>
    </w:p>
    <w:p w14:paraId="3689FC05" w14:textId="2180C1AD" w:rsidR="00A0681D" w:rsidRDefault="006B58A9" w:rsidP="006B58A9">
      <w:pPr>
        <w:ind w:left="709" w:hanging="709"/>
      </w:pPr>
      <w:r w:rsidRPr="006B58A9">
        <w:rPr>
          <w:caps/>
        </w:rPr>
        <w:t>DiGulio, Dominic C</w:t>
      </w:r>
      <w:r w:rsidR="00A0681D" w:rsidRPr="006B58A9">
        <w:rPr>
          <w:caps/>
        </w:rPr>
        <w:t>.</w:t>
      </w:r>
      <w:r w:rsidRPr="006B58A9">
        <w:rPr>
          <w:caps/>
        </w:rPr>
        <w:t>; Jackson, Robert B.</w:t>
      </w:r>
      <w:r>
        <w:t xml:space="preserve"> (2016) </w:t>
      </w:r>
      <w:r w:rsidRPr="006B58A9">
        <w:t>Impact to Underground Sources of Drinking Water and Domestic</w:t>
      </w:r>
      <w:r>
        <w:t xml:space="preserve"> </w:t>
      </w:r>
      <w:r w:rsidRPr="006B58A9">
        <w:t>Wells from Production Well Stimulation and Completion Practices in</w:t>
      </w:r>
      <w:r>
        <w:t xml:space="preserve"> </w:t>
      </w:r>
      <w:r w:rsidRPr="006B58A9">
        <w:t>the Pavillion, Wyoming, Field</w:t>
      </w:r>
      <w:r>
        <w:t>, Environmental Science &amp; Technology, Volume 50, Number 8, Pages 4524-4536, https://doi.org/</w:t>
      </w:r>
      <w:r w:rsidRPr="006B58A9">
        <w:t>10.1021/acs.est.5b04970</w:t>
      </w:r>
      <w:r>
        <w:t>.</w:t>
      </w:r>
    </w:p>
    <w:p w14:paraId="38E6447E" w14:textId="77777777" w:rsidR="004F3D3A" w:rsidRPr="006F1EEC" w:rsidRDefault="004F3D3A" w:rsidP="004F3D3A">
      <w:pPr>
        <w:ind w:left="709" w:hanging="709"/>
      </w:pPr>
      <w:r w:rsidRPr="006F1EEC">
        <w:t>ENVIRONMENT AGENCY, n.d. 2017. Aquifer Designations [Online]. http://apps.environment-agency.gov.uk/wiyby/117020.aspx. Accessed (11/12/18).</w:t>
      </w:r>
    </w:p>
    <w:p w14:paraId="1FC66682" w14:textId="4782455D" w:rsidR="002D5E58" w:rsidRDefault="002D5E58" w:rsidP="00D230D8">
      <w:pPr>
        <w:ind w:left="709" w:hanging="709"/>
      </w:pPr>
      <w:r w:rsidRPr="006F1EEC">
        <w:t>EVANS, D. J., BATEMAN, M.D., ROBERTS, D.H., MEDIALDEA, A. , HAYES, L. , DULLER, G.A., FABEL, D., CLARK, C.D. (2017), Glacial Lake Pickering: stratigraphy and chronology of a proglacial lake dammed by the North Sea Lobe of the British–Irish Ice Sheet. J. Quaternary Sci., 32: 295-310. doi:10.1002/jqs.2833</w:t>
      </w:r>
      <w:r w:rsidR="00757702">
        <w:t>.</w:t>
      </w:r>
    </w:p>
    <w:p w14:paraId="5FC574D2" w14:textId="77777777" w:rsidR="00B205E8" w:rsidRDefault="00757702" w:rsidP="00757702">
      <w:pPr>
        <w:ind w:left="709" w:hanging="709"/>
      </w:pPr>
      <w:r w:rsidRPr="00757702">
        <w:rPr>
          <w:caps/>
        </w:rPr>
        <w:t>Fairley, Jerry; Heffner, James; Hinds, Jennifer</w:t>
      </w:r>
      <w:r>
        <w:t xml:space="preserve"> (</w:t>
      </w:r>
      <w:r w:rsidRPr="00757702">
        <w:t>2003</w:t>
      </w:r>
      <w:r>
        <w:t xml:space="preserve">) </w:t>
      </w:r>
      <w:r w:rsidRPr="00757702">
        <w:t>Geostatistical evaluation of permeability in an active fault zone</w:t>
      </w:r>
      <w:r>
        <w:t xml:space="preserve">, </w:t>
      </w:r>
      <w:r w:rsidRPr="00757702">
        <w:t>G</w:t>
      </w:r>
      <w:r>
        <w:t>eophysical</w:t>
      </w:r>
      <w:r w:rsidRPr="00757702">
        <w:t xml:space="preserve"> R</w:t>
      </w:r>
      <w:r>
        <w:t>esearch</w:t>
      </w:r>
      <w:r w:rsidRPr="00757702">
        <w:t xml:space="preserve"> L</w:t>
      </w:r>
      <w:r>
        <w:t>etters</w:t>
      </w:r>
      <w:r w:rsidRPr="00757702">
        <w:t>, V</w:t>
      </w:r>
      <w:r>
        <w:t>olume</w:t>
      </w:r>
      <w:r w:rsidRPr="00757702">
        <w:t xml:space="preserve"> 30, N</w:t>
      </w:r>
      <w:r>
        <w:t>umber</w:t>
      </w:r>
      <w:r w:rsidRPr="00757702">
        <w:t xml:space="preserve"> 18, 1962, doi:10.1029/2003GL018064</w:t>
      </w:r>
      <w:r w:rsidR="00B205E8">
        <w:t>.</w:t>
      </w:r>
    </w:p>
    <w:p w14:paraId="42A8C4A5" w14:textId="037759B8" w:rsidR="00EE6CFF" w:rsidRDefault="00B205E8" w:rsidP="00B205E8">
      <w:pPr>
        <w:ind w:left="709" w:hanging="709"/>
      </w:pPr>
      <w:r w:rsidRPr="00B91B62">
        <w:rPr>
          <w:caps/>
        </w:rPr>
        <w:t>Finkenrath M, Pazzi S, D’Ercole M.</w:t>
      </w:r>
      <w:r w:rsidR="00B91B62">
        <w:t xml:space="preserve"> (2009)</w:t>
      </w:r>
      <w:r w:rsidRPr="00B205E8">
        <w:t xml:space="preserve"> Status and technical challenges of</w:t>
      </w:r>
      <w:r w:rsidR="00B91B62">
        <w:t xml:space="preserve"> </w:t>
      </w:r>
      <w:r w:rsidRPr="00B205E8">
        <w:t>advanced Compressed Air Energy Storage (CAES) technology. In: Int.</w:t>
      </w:r>
      <w:r w:rsidR="00B91B62">
        <w:t xml:space="preserve"> </w:t>
      </w:r>
      <w:r w:rsidRPr="00B205E8">
        <w:t>workshop on environme</w:t>
      </w:r>
      <w:r w:rsidR="00B91B62">
        <w:t>nt and alternative energy; 2009</w:t>
      </w:r>
      <w:r w:rsidR="00EE6CFF">
        <w:t>.</w:t>
      </w:r>
    </w:p>
    <w:p w14:paraId="00909792" w14:textId="2EFE30E5" w:rsidR="00EE6CFF" w:rsidRDefault="00EE6CFF" w:rsidP="00DD283B">
      <w:pPr>
        <w:ind w:left="709" w:hanging="709"/>
      </w:pPr>
      <w:r w:rsidRPr="00DD283B">
        <w:rPr>
          <w:caps/>
        </w:rPr>
        <w:t xml:space="preserve">Fisher, Kevin; Warpinski, Norm </w:t>
      </w:r>
      <w:r>
        <w:t xml:space="preserve">(2011) </w:t>
      </w:r>
      <w:r w:rsidRPr="00EE6CFF">
        <w:t>Hydraulic Fracture-Height Growth: Real Data</w:t>
      </w:r>
      <w:r>
        <w:t xml:space="preserve">, </w:t>
      </w:r>
      <w:r w:rsidR="00DD283B" w:rsidRPr="00DD283B">
        <w:t>SPE 145949</w:t>
      </w:r>
      <w:r w:rsidR="00DD283B">
        <w:t xml:space="preserve">, </w:t>
      </w:r>
      <w:r w:rsidR="00DD283B" w:rsidRPr="00DD283B">
        <w:t>Society of Petroleum Engineers Annual Technical Conference and Exhibition</w:t>
      </w:r>
      <w:r w:rsidR="00DD283B">
        <w:t>,</w:t>
      </w:r>
      <w:r w:rsidR="00DD283B" w:rsidRPr="00DD283B">
        <w:t xml:space="preserve"> Denver, Colorado, USA, 30 October–2 November 2011</w:t>
      </w:r>
      <w:r w:rsidR="00DD283B">
        <w:t>.</w:t>
      </w:r>
    </w:p>
    <w:p w14:paraId="7BCB7632" w14:textId="0E2E46D9" w:rsidR="00757702" w:rsidRPr="006F1EEC" w:rsidRDefault="00EE6CFF" w:rsidP="00EE6CFF">
      <w:pPr>
        <w:ind w:left="709" w:hanging="709"/>
      </w:pPr>
      <w:r w:rsidRPr="00EE6CFF">
        <w:rPr>
          <w:caps/>
        </w:rPr>
        <w:t>Flewelling, S.A.; Sharma, M.</w:t>
      </w:r>
      <w:r w:rsidRPr="00EE6CFF">
        <w:t xml:space="preserve"> </w:t>
      </w:r>
      <w:r>
        <w:t>(</w:t>
      </w:r>
      <w:r w:rsidRPr="00EE6CFF">
        <w:t>2014</w:t>
      </w:r>
      <w:r>
        <w:t>)</w:t>
      </w:r>
      <w:r w:rsidRPr="00EE6CFF">
        <w:t xml:space="preserve"> Constraints on upward</w:t>
      </w:r>
      <w:r>
        <w:t xml:space="preserve"> </w:t>
      </w:r>
      <w:r w:rsidRPr="00EE6CFF">
        <w:t>migration of hydraulic fracturing fluid and brine. Ground</w:t>
      </w:r>
      <w:r>
        <w:t>water, Volume</w:t>
      </w:r>
      <w:r w:rsidRPr="00EE6CFF">
        <w:t xml:space="preserve"> 52, </w:t>
      </w:r>
      <w:r>
        <w:t>Number</w:t>
      </w:r>
      <w:r w:rsidRPr="00EE6CFF">
        <w:t xml:space="preserve"> 1</w:t>
      </w:r>
      <w:r>
        <w:t>, Pages</w:t>
      </w:r>
      <w:r w:rsidRPr="00EE6CFF">
        <w:t xml:space="preserve"> 9–19</w:t>
      </w:r>
      <w:r>
        <w:t>,</w:t>
      </w:r>
      <w:r w:rsidRPr="00EE6CFF">
        <w:t xml:space="preserve"> DOI:10.1111/gwat.12095</w:t>
      </w:r>
      <w:r w:rsidR="00757702">
        <w:t>.</w:t>
      </w:r>
    </w:p>
    <w:p w14:paraId="5902898B" w14:textId="77777777" w:rsidR="007D7AB9" w:rsidRDefault="002D5E58" w:rsidP="00D230D8">
      <w:pPr>
        <w:ind w:left="709" w:hanging="709"/>
      </w:pPr>
      <w:r w:rsidRPr="006F1EEC">
        <w:t>FORD, J.R., HUGHES, L., BURKE, H.F., LEE, J.R. (2015) The Vale of Pickering: an initial summary of the Quaternary/superficial geology and data holdings.  BGS Open Report, OR/15/064</w:t>
      </w:r>
      <w:r w:rsidR="007D7AB9">
        <w:t>.</w:t>
      </w:r>
    </w:p>
    <w:p w14:paraId="7A4ACB00" w14:textId="77777777" w:rsidR="00942A21" w:rsidRDefault="007D7AB9" w:rsidP="007D7AB9">
      <w:pPr>
        <w:ind w:left="709" w:hanging="709"/>
      </w:pPr>
      <w:r w:rsidRPr="007D7AB9">
        <w:rPr>
          <w:caps/>
        </w:rPr>
        <w:t>Friedmann, S. Julio; Upadhye, Ravi; Kong, Fung-Ming</w:t>
      </w:r>
      <w:r>
        <w:t xml:space="preserve"> (2009) </w:t>
      </w:r>
      <w:r w:rsidRPr="007D7AB9">
        <w:t>Prospects for underground coal gasification in carbon-constrained</w:t>
      </w:r>
      <w:r>
        <w:t xml:space="preserve"> </w:t>
      </w:r>
      <w:r w:rsidRPr="007D7AB9">
        <w:t>world</w:t>
      </w:r>
      <w:r>
        <w:t xml:space="preserve">, Energy Procedia, Volume 1, Pages 4551-4557, </w:t>
      </w:r>
      <w:r w:rsidRPr="007D7AB9">
        <w:t>doi:10.1016/j.egypro.2009.02.274</w:t>
      </w:r>
      <w:r w:rsidR="00942A21">
        <w:t>.</w:t>
      </w:r>
    </w:p>
    <w:p w14:paraId="1D6F8E9E" w14:textId="03193F4A" w:rsidR="002D5E58" w:rsidRPr="006F1EEC" w:rsidRDefault="00942A21" w:rsidP="007D7AB9">
      <w:pPr>
        <w:ind w:left="709" w:hanging="709"/>
      </w:pPr>
      <w:r>
        <w:t>Gass, T.E.; Lehr, J.H.; Heiss Jr., H.W. (1977) Impact of abandoned wells on ground water, EPA-600/3-77-095, Robert S. Kerr environmental research laboratory, U.S. Environmental Protection Agency, Ada OK, USA, August 1977</w:t>
      </w:r>
      <w:r w:rsidR="002D5E58" w:rsidRPr="006F1EEC">
        <w:t>.</w:t>
      </w:r>
    </w:p>
    <w:p w14:paraId="3E7F069C" w14:textId="77777777" w:rsidR="007C1B79" w:rsidRPr="00790DED" w:rsidRDefault="007C1B79" w:rsidP="00D230D8">
      <w:pPr>
        <w:ind w:left="709" w:hanging="709"/>
        <w:rPr>
          <w:lang w:val="nl-NL"/>
        </w:rPr>
      </w:pPr>
      <w:r w:rsidRPr="006F1EEC">
        <w:rPr>
          <w:caps/>
        </w:rPr>
        <w:t>Gedeon, M., Wemaere, I., Marivoet, J. (</w:t>
      </w:r>
      <w:r w:rsidRPr="006F1EEC">
        <w:t xml:space="preserve">2007) Regional groundwater model of north-east Belgium. </w:t>
      </w:r>
      <w:r w:rsidRPr="00790DED">
        <w:rPr>
          <w:lang w:val="nl-NL"/>
        </w:rPr>
        <w:t>Journal of Hydrology 335, 133-139.</w:t>
      </w:r>
    </w:p>
    <w:p w14:paraId="5DF343BA" w14:textId="77777777" w:rsidR="00746358" w:rsidRPr="00772F42" w:rsidRDefault="007C1B79" w:rsidP="00D230D8">
      <w:pPr>
        <w:ind w:left="709" w:hanging="709"/>
      </w:pPr>
      <w:r w:rsidRPr="00790DED">
        <w:rPr>
          <w:caps/>
          <w:lang w:val="nl-NL"/>
        </w:rPr>
        <w:t>Geluk, M.C., Duin, E.J.T., Dusar, M., Rijkers, M.H.B., van den Berg, M.W., van Rooijen, P. (</w:t>
      </w:r>
      <w:r w:rsidRPr="00790DED">
        <w:rPr>
          <w:lang w:val="nl-NL"/>
        </w:rPr>
        <w:t xml:space="preserve">1994) Stratigraphy and tectonics of the Roer Valley Graben. </w:t>
      </w:r>
      <w:r w:rsidRPr="00772F42">
        <w:t>Geologie en Mijnbouw 73, 129–141</w:t>
      </w:r>
      <w:r w:rsidR="00746358" w:rsidRPr="00772F42">
        <w:t>.</w:t>
      </w:r>
    </w:p>
    <w:p w14:paraId="2A2D5CE6" w14:textId="674571AD" w:rsidR="007C1B79" w:rsidRPr="00772F42" w:rsidRDefault="00746358" w:rsidP="00D230D8">
      <w:pPr>
        <w:ind w:left="709" w:hanging="709"/>
      </w:pPr>
      <w:r w:rsidRPr="00772F42">
        <w:rPr>
          <w:caps/>
        </w:rPr>
        <w:t>GeoERA</w:t>
      </w:r>
      <w:r w:rsidRPr="00772F42">
        <w:t xml:space="preserve"> (2017)</w:t>
      </w:r>
      <w:r w:rsidR="000B394B" w:rsidRPr="00772F42">
        <w:t xml:space="preserve"> Call Announcement and Scientific Scope: Stage Two – Project Proposals,</w:t>
      </w:r>
      <w:r w:rsidRPr="00772F42">
        <w:t xml:space="preserve"> </w:t>
      </w:r>
      <w:r w:rsidR="000B394B" w:rsidRPr="00772F42">
        <w:t>Joint call document no.9</w:t>
      </w:r>
      <w:r w:rsidRPr="00772F42">
        <w:t xml:space="preserve">, available at: </w:t>
      </w:r>
      <w:r w:rsidRPr="000B394B">
        <w:rPr>
          <w:rStyle w:val="Hyperlink"/>
        </w:rPr>
        <w:t>http://geoera.eu/wp-content/uploads/2016/11/GeoERA-Call-Document-No.-9-SRTs-20171017.pdf</w:t>
      </w:r>
      <w:r w:rsidRPr="00772F42">
        <w:t>, accessed at 27 May 2019</w:t>
      </w:r>
      <w:r w:rsidR="007C1B79" w:rsidRPr="00772F42">
        <w:t>.</w:t>
      </w:r>
    </w:p>
    <w:p w14:paraId="05A36561" w14:textId="77777777" w:rsidR="006B0A75" w:rsidRPr="00772F42" w:rsidRDefault="00AC20DC" w:rsidP="00D230D8">
      <w:pPr>
        <w:ind w:left="709" w:hanging="709"/>
      </w:pPr>
      <w:r w:rsidRPr="00772F42">
        <w:t>GOETZL,</w:t>
      </w:r>
      <w:r w:rsidR="00945FC2" w:rsidRPr="00772F42">
        <w:t xml:space="preserve"> </w:t>
      </w:r>
      <w:r w:rsidRPr="00772F42">
        <w:t>G., ZEKIRI,</w:t>
      </w:r>
      <w:r w:rsidR="00945FC2" w:rsidRPr="00772F42">
        <w:t xml:space="preserve"> </w:t>
      </w:r>
      <w:r w:rsidRPr="00772F42">
        <w:t>F., LENKEY,</w:t>
      </w:r>
      <w:r w:rsidR="00945FC2" w:rsidRPr="00772F42">
        <w:t xml:space="preserve"> </w:t>
      </w:r>
      <w:r w:rsidRPr="00772F42">
        <w:t>L., RAJVER,</w:t>
      </w:r>
      <w:r w:rsidR="00945FC2" w:rsidRPr="00772F42">
        <w:t xml:space="preserve"> </w:t>
      </w:r>
      <w:r w:rsidRPr="00772F42">
        <w:t>D., SVASTA,</w:t>
      </w:r>
      <w:r w:rsidR="00945FC2" w:rsidRPr="00772F42">
        <w:t xml:space="preserve"> </w:t>
      </w:r>
      <w:r w:rsidRPr="00772F42">
        <w:t>J. (2012) Geothermal Models at Supra-regional Scale, Summary report. Transenergy Project. (http://transenergy eu.geologie.ac.at)</w:t>
      </w:r>
      <w:r w:rsidR="006B0A75" w:rsidRPr="00772F42">
        <w:t>.</w:t>
      </w:r>
    </w:p>
    <w:p w14:paraId="66EB4E36" w14:textId="6674AABF" w:rsidR="00AC20DC" w:rsidRPr="00772F42" w:rsidRDefault="006B0A75" w:rsidP="00D230D8">
      <w:pPr>
        <w:ind w:left="709" w:hanging="709"/>
      </w:pPr>
      <w:r w:rsidRPr="00772F42">
        <w:rPr>
          <w:caps/>
        </w:rPr>
        <w:t>Grasby, S.E.; Ferguson, G.; Brady, A.; Sharp, C.; Dunfield, P.; McMechan, M.</w:t>
      </w:r>
      <w:r w:rsidRPr="00772F42">
        <w:t xml:space="preserve"> (2016) Deep groundwater circulation and associated methane leakage in the northern Canadian Rocky Mountains, Applied Geochemistry Volume 68, Pages 10-18</w:t>
      </w:r>
      <w:r w:rsidR="00AC20DC" w:rsidRPr="00772F42">
        <w:t>.</w:t>
      </w:r>
    </w:p>
    <w:p w14:paraId="665FACFE" w14:textId="4C8758E9" w:rsidR="00D908DE" w:rsidRDefault="009E4346" w:rsidP="00D230D8">
      <w:pPr>
        <w:ind w:left="709" w:hanging="709"/>
      </w:pPr>
      <w:r w:rsidRPr="00772F42">
        <w:t xml:space="preserve">GRIFFIOEN, J., KOENEN, M., MEEUSSEN, H., CORNELISSEN, P., PETERS, L., JANSEN, S. (2017) Geochemical interactions and groundwater transport in the Rupel Clay. </w:t>
      </w:r>
      <w:r w:rsidRPr="003415EF">
        <w:t xml:space="preserve">A generic model analysis, </w:t>
      </w:r>
      <w:r w:rsidR="008A12C8" w:rsidRPr="003415EF">
        <w:t xml:space="preserve">report </w:t>
      </w:r>
      <w:r w:rsidRPr="003415EF">
        <w:t xml:space="preserve">OPERA-PU-TNO522, </w:t>
      </w:r>
      <w:r w:rsidR="008A12C8" w:rsidRPr="003415EF">
        <w:t xml:space="preserve">available at: </w:t>
      </w:r>
      <w:hyperlink r:id="rId39" w:history="1">
        <w:r w:rsidR="008A12C8" w:rsidRPr="003415EF">
          <w:rPr>
            <w:rStyle w:val="Hyperlink"/>
          </w:rPr>
          <w:t>https://covra.nl/downloads/opera/OPERA-PU-TNO522.pdf</w:t>
        </w:r>
      </w:hyperlink>
      <w:r w:rsidR="008A12C8" w:rsidRPr="003415EF">
        <w:t>, accessed at 4 April 2019</w:t>
      </w:r>
      <w:r w:rsidR="00864810">
        <w:t>.</w:t>
      </w:r>
    </w:p>
    <w:p w14:paraId="5535F732" w14:textId="77777777" w:rsidR="00FB2327" w:rsidRDefault="00864810" w:rsidP="00864810">
      <w:pPr>
        <w:ind w:left="709" w:hanging="709"/>
      </w:pPr>
      <w:r w:rsidRPr="00864810">
        <w:rPr>
          <w:caps/>
        </w:rPr>
        <w:t>Hammack, R.; Harbert, W.; Sharma, S.; Stewart, B.; Capo, R.; Wall, A.; Wells, A.; Diehl, R.; Blaushild, D.; Sams, J.; Veloski, G.</w:t>
      </w:r>
      <w:r>
        <w:t xml:space="preserve"> (2014) An Evaluation of Fracture Growth and Gas/Fluid Migration as Horizontal Marcellus Shale Gas Wells are Hydraulically Fractured in Greene County, Pennsylvania, NETL-TRS-3-2014; EPAct Technical Report Series; U.S. Department of Energy, National Energy Technology Laboratory: Pittsburgh, PA, USA</w:t>
      </w:r>
      <w:r w:rsidR="00FB2327">
        <w:t>.</w:t>
      </w:r>
    </w:p>
    <w:p w14:paraId="1CD7C22E" w14:textId="297B6A92" w:rsidR="00465A90" w:rsidRDefault="00FB2327" w:rsidP="00FB2327">
      <w:pPr>
        <w:ind w:left="709" w:hanging="709"/>
      </w:pPr>
      <w:r w:rsidRPr="00FB2327">
        <w:rPr>
          <w:caps/>
        </w:rPr>
        <w:t>House of Commons Energy and Climate Change Committee</w:t>
      </w:r>
      <w:r>
        <w:t xml:space="preserve"> (2011) Shale Gas - Fifth Report of Session 2010–12</w:t>
      </w:r>
      <w:r w:rsidR="00465A90">
        <w:t>.</w:t>
      </w:r>
      <w:r>
        <w:t xml:space="preserve"> HC 795, Stationary Office Limited, London UK.</w:t>
      </w:r>
    </w:p>
    <w:p w14:paraId="3175B919" w14:textId="4B0ECAEF" w:rsidR="00465A90" w:rsidRDefault="00465A90" w:rsidP="00465A90">
      <w:pPr>
        <w:ind w:left="709" w:hanging="709"/>
      </w:pPr>
      <w:r w:rsidRPr="00465A90">
        <w:t>HUENGES, ERNST</w:t>
      </w:r>
      <w:r>
        <w:t>;</w:t>
      </w:r>
      <w:r w:rsidRPr="00465A90">
        <w:t xml:space="preserve"> TRAUTWEIN, UTE</w:t>
      </w:r>
      <w:r>
        <w:t>;</w:t>
      </w:r>
      <w:r w:rsidRPr="00465A90">
        <w:t xml:space="preserve"> LEGARTH, </w:t>
      </w:r>
      <w:r>
        <w:t>BJÖ</w:t>
      </w:r>
      <w:r w:rsidRPr="00465A90">
        <w:t>RN</w:t>
      </w:r>
      <w:r>
        <w:t>;</w:t>
      </w:r>
      <w:r w:rsidRPr="00465A90">
        <w:t xml:space="preserve"> ZIMMERMANN</w:t>
      </w:r>
      <w:r w:rsidR="00864810">
        <w:t>.</w:t>
      </w:r>
      <w:r w:rsidRPr="00465A90">
        <w:t xml:space="preserve"> G</w:t>
      </w:r>
      <w:r>
        <w:t>Ü</w:t>
      </w:r>
      <w:r w:rsidRPr="00465A90">
        <w:t>NTER</w:t>
      </w:r>
      <w:r>
        <w:t xml:space="preserve"> (2006) Fluid Pressure Variation in a Sedimentary Geothermal Reservoir in the North German Basin: Case Study Groß Schönebeck, Pure and Applied Geophysics, Volume 163, Pages 2141–2152, DOI 10.1007/s00024-006-0122-2.</w:t>
      </w:r>
    </w:p>
    <w:p w14:paraId="36A2CB6F" w14:textId="7F6AC64C" w:rsidR="00B95FD6" w:rsidRDefault="00D908DE" w:rsidP="00D908DE">
      <w:pPr>
        <w:ind w:left="709" w:hanging="709"/>
      </w:pPr>
      <w:r w:rsidRPr="00D908DE">
        <w:rPr>
          <w:caps/>
        </w:rPr>
        <w:t>Ingraffea, Anthony R.; Wells, Martin T.; Santoro, Renee L.; Shonkoffd, Seth B. C.</w:t>
      </w:r>
      <w:r>
        <w:t xml:space="preserve"> (2014) Assessment and risk analysis of casing and cement impairment in oil and gas wells in Pennsylvania, 2000–2012, </w:t>
      </w:r>
      <w:r w:rsidRPr="00D908DE">
        <w:t xml:space="preserve">PNAS, </w:t>
      </w:r>
      <w:r>
        <w:t>Volume</w:t>
      </w:r>
      <w:r w:rsidRPr="00D908DE">
        <w:t xml:space="preserve"> 111</w:t>
      </w:r>
      <w:r>
        <w:t>, Number</w:t>
      </w:r>
      <w:r w:rsidRPr="00D908DE">
        <w:t xml:space="preserve"> 30</w:t>
      </w:r>
      <w:r>
        <w:t>, Pages</w:t>
      </w:r>
      <w:r w:rsidRPr="00D908DE">
        <w:t xml:space="preserve"> 10955-10960</w:t>
      </w:r>
      <w:r>
        <w:t>,</w:t>
      </w:r>
      <w:r w:rsidRPr="00D908DE">
        <w:t xml:space="preserve"> </w:t>
      </w:r>
      <w:hyperlink r:id="rId40" w:history="1">
        <w:r w:rsidRPr="006E4C88">
          <w:rPr>
            <w:rStyle w:val="Hyperlink"/>
          </w:rPr>
          <w:t>https://doi.org/10.1073/pnas.1323422111</w:t>
        </w:r>
      </w:hyperlink>
      <w:r w:rsidR="00B95FD6">
        <w:t>.</w:t>
      </w:r>
    </w:p>
    <w:p w14:paraId="4E797B87" w14:textId="3180C0FB" w:rsidR="009E4346" w:rsidRPr="003415EF" w:rsidRDefault="00B95FD6" w:rsidP="00B95FD6">
      <w:pPr>
        <w:ind w:left="709" w:hanging="709"/>
      </w:pPr>
      <w:r w:rsidRPr="00B95FD6">
        <w:rPr>
          <w:caps/>
        </w:rPr>
        <w:t>Jackson, R.E.; Gorody, A.W.; Mayer, B.; Roy, J.W.; Ryan, M.C.; Van Stempvoort, D.R.</w:t>
      </w:r>
      <w:r>
        <w:t xml:space="preserve"> (2013) Groundwater Protection and Unconventional Gas Extraction: The Critical Need for Field-Based Hydrogeological Research, Issue Paper, Groundwater, Volume 51, Number 4, Pages 488-510, </w:t>
      </w:r>
      <w:r w:rsidRPr="00B95FD6">
        <w:t>doi: 10.1111/gwat.12074</w:t>
      </w:r>
      <w:r w:rsidR="008A12C8" w:rsidRPr="003415EF">
        <w:t>.</w:t>
      </w:r>
    </w:p>
    <w:p w14:paraId="5AFCB9AE" w14:textId="2584C89B" w:rsidR="00EE371F" w:rsidRPr="003415EF" w:rsidRDefault="00EE371F" w:rsidP="00D230D8">
      <w:pPr>
        <w:ind w:left="709" w:hanging="709"/>
      </w:pPr>
      <w:r w:rsidRPr="003415EF">
        <w:t>JACKSON, R.B., VENGOSH, A., CAREY, J.W., DAVIES, R., DARRAH, T.H., O’SULLIVAN, F., PéTRON, G. (2014) The Environmental Costs and Benefits of Fracking, Anny. Rev. Environ. Resour. 39:327-362, doi 10.1146/annrev-environ-031113-144051</w:t>
      </w:r>
    </w:p>
    <w:p w14:paraId="3956D157" w14:textId="77777777" w:rsidR="00505F1A" w:rsidRDefault="00976A90" w:rsidP="00D230D8">
      <w:pPr>
        <w:ind w:left="709" w:hanging="709"/>
      </w:pPr>
      <w:r w:rsidRPr="003415EF">
        <w:t>JACOBSEN, O.S., JOHNSEN, A.R., GRAVESEN, P., SCHOVSBO, N.H. (2015) Risk Assessment of Impacts on Groundwater quantity and Quality (online). M4ShaleGas Consortium. Available from: http://www.m4shalegas.eu/downloads/M4ShaleGas%20-%20D8.1%20-%20Risk%20assessment%20of%20impacts%20on%20groundwater%20-%20Nov.%202015.pdf, accessed: 5 April 2019</w:t>
      </w:r>
      <w:r w:rsidR="00505F1A">
        <w:t>.</w:t>
      </w:r>
    </w:p>
    <w:p w14:paraId="602D298F" w14:textId="77777777" w:rsidR="00E5194C" w:rsidRDefault="00505F1A" w:rsidP="00505F1A">
      <w:pPr>
        <w:ind w:left="709" w:hanging="709"/>
      </w:pPr>
      <w:r w:rsidRPr="00505F1A">
        <w:rPr>
          <w:caps/>
        </w:rPr>
        <w:t>Kallesøe, A.J. &amp; Vangkilde-Pedersen, T. (eds).</w:t>
      </w:r>
      <w:r>
        <w:t xml:space="preserve"> 2019: Underground Thermal Energy Storage (UTES) – state-of-the-art, example cases and lessons learned. HEATSTORE project report, GEOTHERMICA – ERA NET Cofund Geothermal</w:t>
      </w:r>
      <w:r w:rsidR="00E5194C">
        <w:t>.</w:t>
      </w:r>
    </w:p>
    <w:p w14:paraId="730D273B" w14:textId="664C1FFC" w:rsidR="00976A90" w:rsidRPr="003415EF" w:rsidRDefault="00E5194C" w:rsidP="00505F1A">
      <w:pPr>
        <w:ind w:left="709" w:hanging="709"/>
      </w:pPr>
      <w:r w:rsidRPr="00E5194C">
        <w:rPr>
          <w:caps/>
        </w:rPr>
        <w:t>King, G.E.; Valencia, R.L.</w:t>
      </w:r>
      <w:r>
        <w:t xml:space="preserve"> (2014) Environmental Risk and Well Integrity of Plugged and Abandoned Wells, SPE-170949-MS, SPE Annual Technical Conference and Exhibition, Amsterdam, the Netherlands, 27-29 October 2014</w:t>
      </w:r>
      <w:r w:rsidR="00505F1A">
        <w:t>.</w:t>
      </w:r>
    </w:p>
    <w:p w14:paraId="64410B7B" w14:textId="77777777" w:rsidR="00C35996" w:rsidRDefault="00AC20DC" w:rsidP="00D230D8">
      <w:pPr>
        <w:ind w:left="709" w:hanging="709"/>
      </w:pPr>
      <w:r w:rsidRPr="003415EF">
        <w:t>KIRÁLY</w:t>
      </w:r>
      <w:r w:rsidR="00945FC2" w:rsidRPr="003415EF">
        <w:t>,</w:t>
      </w:r>
      <w:r w:rsidRPr="003415EF">
        <w:t xml:space="preserve"> C</w:t>
      </w:r>
      <w:r w:rsidR="00945FC2" w:rsidRPr="003415EF">
        <w:t>.</w:t>
      </w:r>
      <w:r w:rsidRPr="003415EF">
        <w:t>S., SZAMOSFALVI</w:t>
      </w:r>
      <w:r w:rsidR="00945FC2" w:rsidRPr="003415EF">
        <w:t>,</w:t>
      </w:r>
      <w:r w:rsidRPr="003415EF">
        <w:t xml:space="preserve"> Á.</w:t>
      </w:r>
      <w:r w:rsidR="00945FC2" w:rsidRPr="003415EF">
        <w:t>,</w:t>
      </w:r>
      <w:r w:rsidRPr="003415EF">
        <w:t xml:space="preserve"> ZILAHI-SEBESS</w:t>
      </w:r>
      <w:r w:rsidR="00945FC2" w:rsidRPr="003415EF">
        <w:t>,</w:t>
      </w:r>
      <w:r w:rsidRPr="003415EF">
        <w:t xml:space="preserve"> L., KONYA</w:t>
      </w:r>
      <w:r w:rsidR="00945FC2" w:rsidRPr="003415EF">
        <w:t>,</w:t>
      </w:r>
      <w:r w:rsidRPr="003415EF">
        <w:t xml:space="preserve"> P., KOVÁCS</w:t>
      </w:r>
      <w:r w:rsidR="00945FC2" w:rsidRPr="003415EF">
        <w:t>,</w:t>
      </w:r>
      <w:r w:rsidRPr="003415EF">
        <w:t xml:space="preserve"> I., SENDULA</w:t>
      </w:r>
      <w:r w:rsidR="00945FC2" w:rsidRPr="003415EF">
        <w:t>,</w:t>
      </w:r>
      <w:r w:rsidRPr="003415EF">
        <w:t xml:space="preserve"> E., SZABÓ</w:t>
      </w:r>
      <w:r w:rsidR="00945FC2" w:rsidRPr="003415EF">
        <w:t>,</w:t>
      </w:r>
      <w:r w:rsidRPr="003415EF">
        <w:t xml:space="preserve"> C</w:t>
      </w:r>
      <w:r w:rsidR="00945FC2" w:rsidRPr="003415EF">
        <w:t>.</w:t>
      </w:r>
      <w:r w:rsidRPr="003415EF">
        <w:t>S., FALUS, G</w:t>
      </w:r>
      <w:r w:rsidR="00945FC2" w:rsidRPr="003415EF">
        <w:t>.</w:t>
      </w:r>
      <w:r w:rsidRPr="003415EF">
        <w:t xml:space="preserve">Y. (2016) Caprock analysis from the Mihályi-Répcelak natural CO2 occurrence, Western Hungary. </w:t>
      </w:r>
      <w:r w:rsidRPr="006F1EEC">
        <w:t>Environ Earth Science</w:t>
      </w:r>
      <w:r w:rsidR="00C35996">
        <w:t>.</w:t>
      </w:r>
    </w:p>
    <w:p w14:paraId="49BBC3CF" w14:textId="2B60BBD8" w:rsidR="00AC20DC" w:rsidRPr="006F1EEC" w:rsidRDefault="00B67FFA" w:rsidP="00C35996">
      <w:pPr>
        <w:ind w:left="709" w:hanging="709"/>
      </w:pPr>
      <w:r w:rsidRPr="00B67FFA">
        <w:rPr>
          <w:caps/>
        </w:rPr>
        <w:t>Koornneef, Joris; Ramírez, Andrea; Turkenburg, Wim; Faaij, André</w:t>
      </w:r>
      <w:r w:rsidRPr="00B67FFA">
        <w:t xml:space="preserve"> </w:t>
      </w:r>
      <w:r>
        <w:t xml:space="preserve">(2011) </w:t>
      </w:r>
      <w:r w:rsidR="00C35996" w:rsidRPr="00C35996">
        <w:t>The environmental impact and risk assessment of CO2 capture,</w:t>
      </w:r>
      <w:r w:rsidR="00C35996">
        <w:t xml:space="preserve"> </w:t>
      </w:r>
      <w:r w:rsidR="00C35996" w:rsidRPr="00C35996">
        <w:t>transport and storage -an evaluation of the knowledge base using the</w:t>
      </w:r>
      <w:r w:rsidR="00C35996">
        <w:t xml:space="preserve"> </w:t>
      </w:r>
      <w:r w:rsidR="00C35996" w:rsidRPr="00C35996">
        <w:t>DPSIR framework</w:t>
      </w:r>
      <w:r w:rsidR="00C35996">
        <w:t xml:space="preserve">, Energy Procedia, Volume 4, Pages 2293-2300, </w:t>
      </w:r>
      <w:r w:rsidRPr="00B67FFA">
        <w:t>doi:10.1016/j.egypro.2011.02.119</w:t>
      </w:r>
      <w:r w:rsidR="00AC20DC" w:rsidRPr="006F1EEC">
        <w:t>.</w:t>
      </w:r>
    </w:p>
    <w:p w14:paraId="2A8E05B7" w14:textId="3E4641C7" w:rsidR="00D230D8" w:rsidRDefault="00D230D8" w:rsidP="00D230D8">
      <w:pPr>
        <w:ind w:left="709" w:hanging="709"/>
      </w:pPr>
      <w:r w:rsidRPr="00D230D8">
        <w:t>LADEV</w:t>
      </w:r>
      <w:r w:rsidR="0024236C">
        <w:t>È</w:t>
      </w:r>
      <w:r w:rsidRPr="00D230D8">
        <w:t>ZE</w:t>
      </w:r>
      <w:r w:rsidR="00976A90">
        <w:t xml:space="preserve">, P., </w:t>
      </w:r>
      <w:r w:rsidRPr="00D230D8">
        <w:t>RIVARD</w:t>
      </w:r>
      <w:r w:rsidR="00976A90">
        <w:t>, C.,</w:t>
      </w:r>
      <w:r w:rsidRPr="00D230D8">
        <w:t xml:space="preserve"> LAVOIE</w:t>
      </w:r>
      <w:r w:rsidR="00976A90">
        <w:t>,</w:t>
      </w:r>
      <w:r w:rsidRPr="00D230D8">
        <w:t xml:space="preserve"> </w:t>
      </w:r>
      <w:r w:rsidR="00976A90" w:rsidRPr="00D230D8">
        <w:t>D.</w:t>
      </w:r>
      <w:r w:rsidR="00976A90">
        <w:t>,</w:t>
      </w:r>
      <w:r w:rsidRPr="00D230D8">
        <w:t xml:space="preserve"> S</w:t>
      </w:r>
      <w:r w:rsidR="0024236C" w:rsidRPr="00ED5DC3">
        <w:rPr>
          <w:caps/>
        </w:rPr>
        <w:t>é</w:t>
      </w:r>
      <w:r w:rsidRPr="00D230D8">
        <w:t>JOURN</w:t>
      </w:r>
      <w:r w:rsidR="0024236C" w:rsidRPr="00ED5DC3">
        <w:rPr>
          <w:caps/>
        </w:rPr>
        <w:t>é</w:t>
      </w:r>
      <w:r w:rsidR="00976A90">
        <w:t>, S.,</w:t>
      </w:r>
      <w:r w:rsidRPr="00D230D8">
        <w:t xml:space="preserve"> LEFEBVRE</w:t>
      </w:r>
      <w:r w:rsidR="00976A90">
        <w:t>, R.,</w:t>
      </w:r>
      <w:r w:rsidRPr="00D230D8">
        <w:t xml:space="preserve"> BORDELEAU</w:t>
      </w:r>
      <w:r w:rsidR="00976A90">
        <w:t>, G.,</w:t>
      </w:r>
      <w:r w:rsidRPr="00D230D8">
        <w:t xml:space="preserve"> (2019) Fault and natural fracture control on upward fluid migration: insights from a shale gas play in the St. Lawrence Platform, Canada, Hydrogeology Journal 27:121–143, </w:t>
      </w:r>
      <w:hyperlink r:id="rId41" w:history="1">
        <w:r w:rsidRPr="009553AB">
          <w:rPr>
            <w:rStyle w:val="Hyperlink"/>
          </w:rPr>
          <w:t>https://doi.org/10.1007/s10040-018-1856-5</w:t>
        </w:r>
      </w:hyperlink>
      <w:r w:rsidR="00ED5DC3" w:rsidRPr="006F1EEC">
        <w:t>.</w:t>
      </w:r>
    </w:p>
    <w:p w14:paraId="5D43FCDE" w14:textId="1221B3D2" w:rsidR="00ED5DC3" w:rsidRDefault="00ED5DC3" w:rsidP="00ED5DC3">
      <w:pPr>
        <w:ind w:left="709" w:hanging="709"/>
      </w:pPr>
      <w:r w:rsidRPr="00ED5DC3">
        <w:rPr>
          <w:caps/>
        </w:rPr>
        <w:t xml:space="preserve">Levebvre, René </w:t>
      </w:r>
      <w:r>
        <w:t xml:space="preserve">(2017) Mechanisms leading to potential </w:t>
      </w:r>
      <w:r w:rsidRPr="00ED5DC3">
        <w:t>impacts of shale gas development</w:t>
      </w:r>
      <w:r>
        <w:t xml:space="preserve"> </w:t>
      </w:r>
      <w:r w:rsidRPr="00ED5DC3">
        <w:t>on groundwater quality</w:t>
      </w:r>
      <w:r>
        <w:t xml:space="preserve">, </w:t>
      </w:r>
      <w:r w:rsidRPr="00ED5DC3">
        <w:t>WIREs Water 2017, 4:e1188. doi: 10.1002/wat2.1188</w:t>
      </w:r>
      <w:r>
        <w:t>.</w:t>
      </w:r>
    </w:p>
    <w:p w14:paraId="0B53FC9B" w14:textId="77777777" w:rsidR="0024236C" w:rsidRDefault="0024236C" w:rsidP="0024236C">
      <w:pPr>
        <w:ind w:left="709" w:hanging="709"/>
      </w:pPr>
      <w:r w:rsidRPr="00893F63">
        <w:t>LLEWELLYN, GARTH T.</w:t>
      </w:r>
      <w:r>
        <w:t xml:space="preserve"> (2014) </w:t>
      </w:r>
      <w:r w:rsidRPr="00893F63">
        <w:t>Evidence and mechanisms for Appalachian Basin brine migration</w:t>
      </w:r>
      <w:r>
        <w:t xml:space="preserve"> </w:t>
      </w:r>
      <w:r w:rsidRPr="00893F63">
        <w:t>into shallow aquifers in NE Pennsylvania, USA</w:t>
      </w:r>
      <w:r>
        <w:t xml:space="preserve">, Hydrogeology Journal, Volume </w:t>
      </w:r>
      <w:r w:rsidRPr="00893F63">
        <w:t>22</w:t>
      </w:r>
      <w:r>
        <w:t>, Pages</w:t>
      </w:r>
      <w:r w:rsidRPr="00893F63">
        <w:t xml:space="preserve"> 1055–1066</w:t>
      </w:r>
      <w:r>
        <w:t xml:space="preserve">, </w:t>
      </w:r>
      <w:r w:rsidRPr="00893F63">
        <w:t>DOI 10.1007/s10040-014-1125-1</w:t>
      </w:r>
      <w:r>
        <w:t>.</w:t>
      </w:r>
    </w:p>
    <w:p w14:paraId="300E8DF1" w14:textId="77777777" w:rsidR="0024236C" w:rsidRDefault="0024236C" w:rsidP="0024236C">
      <w:pPr>
        <w:ind w:left="709" w:hanging="709"/>
      </w:pPr>
      <w:r w:rsidRPr="005513E5">
        <w:rPr>
          <w:caps/>
        </w:rPr>
        <w:t xml:space="preserve">Llewellyn, Garth T.; Dorman, Frank; Westland, J. L.; Yoxtheimer, D.; Grieve, Paul; Sowers, Todd; Humston-Fulmer, E.; Brantley, Susan L. </w:t>
      </w:r>
      <w:r>
        <w:t xml:space="preserve">(2015) </w:t>
      </w:r>
      <w:r w:rsidRPr="005513E5">
        <w:t>Evaluating a groundwater supply contamination</w:t>
      </w:r>
      <w:r>
        <w:t xml:space="preserve"> </w:t>
      </w:r>
      <w:r w:rsidRPr="005513E5">
        <w:t>incident attributed to Marcellus Shale gas development</w:t>
      </w:r>
      <w:r>
        <w:t xml:space="preserve">, </w:t>
      </w:r>
      <w:r w:rsidRPr="005513E5">
        <w:t xml:space="preserve">PNAS, </w:t>
      </w:r>
      <w:r>
        <w:t>Volume</w:t>
      </w:r>
      <w:r w:rsidRPr="005513E5">
        <w:t xml:space="preserve"> 112</w:t>
      </w:r>
      <w:r>
        <w:t>, Number</w:t>
      </w:r>
      <w:r w:rsidRPr="005513E5">
        <w:t xml:space="preserve"> 20</w:t>
      </w:r>
      <w:r>
        <w:t>, Pages</w:t>
      </w:r>
      <w:r w:rsidRPr="005513E5">
        <w:t xml:space="preserve"> 6325–6330</w:t>
      </w:r>
      <w:r>
        <w:t>.</w:t>
      </w:r>
    </w:p>
    <w:p w14:paraId="7D4877A6" w14:textId="71985110" w:rsidR="00372273" w:rsidRDefault="00372273" w:rsidP="00D230D8">
      <w:pPr>
        <w:ind w:left="709" w:hanging="709"/>
      </w:pPr>
      <w:r w:rsidRPr="00372273">
        <w:t>LORD, A.S., KOBOS, P.H., KLISE, G.T. AND BORNS, D.J. (2011) A Life Cycle Cost Analysis Framework for Geologic Storage of Hydrogen: a User’s Tool, Sandia Report SAND2011-6221, Sandia National Laboratory, Albuquerque NM, USA, September 2011</w:t>
      </w:r>
      <w:r w:rsidR="0068036C">
        <w:t>.</w:t>
      </w:r>
    </w:p>
    <w:p w14:paraId="1B2EACE1" w14:textId="68AAF73F" w:rsidR="00C517ED" w:rsidRDefault="0068036C" w:rsidP="0068036C">
      <w:pPr>
        <w:ind w:left="709" w:hanging="709"/>
      </w:pPr>
      <w:r w:rsidRPr="0068036C">
        <w:t>LOVELESS, S</w:t>
      </w:r>
      <w:r>
        <w:t>;</w:t>
      </w:r>
      <w:r w:rsidRPr="0068036C">
        <w:t xml:space="preserve"> LEWIS, M A</w:t>
      </w:r>
      <w:r>
        <w:t>;</w:t>
      </w:r>
      <w:r w:rsidRPr="0068036C">
        <w:t xml:space="preserve"> BLOOMFIELD, J P</w:t>
      </w:r>
      <w:r>
        <w:t>;</w:t>
      </w:r>
      <w:r w:rsidRPr="0068036C">
        <w:t xml:space="preserve"> TERRINGTON, R</w:t>
      </w:r>
      <w:r>
        <w:t>;</w:t>
      </w:r>
      <w:r w:rsidRPr="0068036C">
        <w:t xml:space="preserve"> STUART, M E</w:t>
      </w:r>
      <w:r>
        <w:t>;</w:t>
      </w:r>
      <w:r w:rsidRPr="0068036C">
        <w:t xml:space="preserve"> WARD, R S. </w:t>
      </w:r>
      <w:r>
        <w:t>(</w:t>
      </w:r>
      <w:r w:rsidRPr="0068036C">
        <w:t>2018</w:t>
      </w:r>
      <w:r>
        <w:t>)</w:t>
      </w:r>
      <w:r w:rsidRPr="0068036C">
        <w:t xml:space="preserve"> 3D Groundwater Vulnerability</w:t>
      </w:r>
      <w:r>
        <w:t>,</w:t>
      </w:r>
      <w:r w:rsidRPr="0068036C">
        <w:t xml:space="preserve"> Internal Report OR/18/12</w:t>
      </w:r>
      <w:r>
        <w:t xml:space="preserve">, </w:t>
      </w:r>
      <w:r w:rsidRPr="0068036C">
        <w:t>British Geological Survey</w:t>
      </w:r>
      <w:r>
        <w:t>,</w:t>
      </w:r>
      <w:r w:rsidRPr="0068036C">
        <w:t xml:space="preserve"> 201pp</w:t>
      </w:r>
      <w:r w:rsidR="00C517ED">
        <w:t>.</w:t>
      </w:r>
    </w:p>
    <w:p w14:paraId="5F6A806E" w14:textId="72E0AF64" w:rsidR="0068036C" w:rsidRPr="0068036C" w:rsidRDefault="00C517ED" w:rsidP="00C517ED">
      <w:pPr>
        <w:ind w:left="709" w:hanging="709"/>
      </w:pPr>
      <w:r w:rsidRPr="00772F42">
        <w:rPr>
          <w:caps/>
        </w:rPr>
        <w:t>Loveless, S; Mallin-Martin, D.; Szalkai, Á; Zaadnoordijk, W.J.; Slenter, C.; Beerten, K; Ward, R.S.</w:t>
      </w:r>
      <w:r>
        <w:t xml:space="preserve"> </w:t>
      </w:r>
      <w:r w:rsidRPr="00C517ED">
        <w:t>(</w:t>
      </w:r>
      <w:r>
        <w:t>2019</w:t>
      </w:r>
      <w:r w:rsidRPr="00C517ED">
        <w:t>) D4.1 Expanded diagrams of conceptual models identifying potential pathways for energy activity in the deep sub-surface and shallow groundwater vulnerability</w:t>
      </w:r>
      <w:r>
        <w:t xml:space="preserve">, VoGERA </w:t>
      </w:r>
      <w:r w:rsidRPr="00C517ED">
        <w:t>Report 1, WP 4</w:t>
      </w:r>
      <w:r w:rsidR="0068036C" w:rsidRPr="0068036C">
        <w:t>.</w:t>
      </w:r>
    </w:p>
    <w:p w14:paraId="6B0FD547" w14:textId="285645FD" w:rsidR="0024236C" w:rsidRDefault="008D1061" w:rsidP="00D230D8">
      <w:pPr>
        <w:ind w:left="709" w:hanging="709"/>
      </w:pPr>
      <w:r w:rsidRPr="008D1061">
        <w:t xml:space="preserve">LU, G., HU, B.X. (2019) Steady State Non-isothermal Well Flow in a Slanted Aquifer: Mathematical formulation and Field Application to a Deep Fault in the Xinzhou Geothermal Field in Guangdong, China, Hydrol. Earth Syst. Sci. Discuss., </w:t>
      </w:r>
      <w:hyperlink r:id="rId42" w:history="1">
        <w:r w:rsidR="00E24DEB" w:rsidRPr="007A37F6">
          <w:rPr>
            <w:rStyle w:val="Hyperlink"/>
          </w:rPr>
          <w:t>https://doi.org/10.5194/hess-2018-624</w:t>
        </w:r>
      </w:hyperlink>
      <w:r w:rsidR="001A31FA" w:rsidRPr="0068036C">
        <w:t>.</w:t>
      </w:r>
    </w:p>
    <w:p w14:paraId="41FBE011" w14:textId="4E35B6A5" w:rsidR="00893F63" w:rsidRDefault="0024236C" w:rsidP="00D230D8">
      <w:pPr>
        <w:ind w:left="709" w:hanging="709"/>
      </w:pPr>
      <w:r w:rsidRPr="0024236C">
        <w:rPr>
          <w:caps/>
        </w:rPr>
        <w:t>Luo, Xing; Wang, Jihong; Dooner, Mark; Clarke, Jonathan</w:t>
      </w:r>
      <w:r w:rsidRPr="0024236C">
        <w:t xml:space="preserve"> (2015) Overview of current development in electrical energy storage technologies and the application potential in power system operation, Applied Energy, Volume 137, Pages 511–536, http://dx.doi.org/10.1016/j.apenergy.2014.09.081</w:t>
      </w:r>
      <w:r>
        <w:t>.</w:t>
      </w:r>
    </w:p>
    <w:p w14:paraId="74DBF2E9" w14:textId="4CAD135B" w:rsidR="008D1061" w:rsidRDefault="007E6D35" w:rsidP="007E6D35">
      <w:pPr>
        <w:ind w:left="709" w:hanging="709"/>
      </w:pPr>
      <w:r w:rsidRPr="007E6D35">
        <w:rPr>
          <w:caps/>
        </w:rPr>
        <w:t>Machiwal, Deepesh; Jha, Madan Kumar; Singh, Vijay P.; Mohan, Chinchu</w:t>
      </w:r>
      <w:r>
        <w:t xml:space="preserve"> (2018) </w:t>
      </w:r>
      <w:r w:rsidRPr="007E6D35">
        <w:t>Assessment and mapping of groundwater vulnerability to pollution: Current</w:t>
      </w:r>
      <w:r>
        <w:t xml:space="preserve"> </w:t>
      </w:r>
      <w:r w:rsidRPr="007E6D35">
        <w:t>status and challenges</w:t>
      </w:r>
      <w:r>
        <w:t xml:space="preserve">, </w:t>
      </w:r>
      <w:r w:rsidRPr="007E6D35">
        <w:t>Earth-Science Reviews</w:t>
      </w:r>
      <w:r>
        <w:t>,</w:t>
      </w:r>
      <w:r w:rsidRPr="007E6D35">
        <w:t xml:space="preserve"> </w:t>
      </w:r>
      <w:r>
        <w:t xml:space="preserve">Volume </w:t>
      </w:r>
      <w:r w:rsidRPr="007E6D35">
        <w:t>185</w:t>
      </w:r>
      <w:r>
        <w:t>,</w:t>
      </w:r>
      <w:r w:rsidRPr="007E6D35">
        <w:t xml:space="preserve"> </w:t>
      </w:r>
      <w:r>
        <w:t>Pages</w:t>
      </w:r>
      <w:r w:rsidRPr="007E6D35">
        <w:t xml:space="preserve"> 901–927</w:t>
      </w:r>
      <w:r w:rsidR="005513E5">
        <w:t>.</w:t>
      </w:r>
    </w:p>
    <w:p w14:paraId="4F1648DD" w14:textId="5CE1AAA4" w:rsidR="00215384" w:rsidRDefault="00215384" w:rsidP="00215384">
      <w:pPr>
        <w:ind w:left="709" w:hanging="709"/>
      </w:pPr>
      <w:r w:rsidRPr="00890D80">
        <w:rPr>
          <w:caps/>
        </w:rPr>
        <w:t xml:space="preserve">Molofsky, Lisa J.; Connor, John A.; Wylie, Albert S.; Wagner, Tom; Farhat, Shahla K. </w:t>
      </w:r>
      <w:r>
        <w:t xml:space="preserve">(2013) </w:t>
      </w:r>
      <w:r w:rsidRPr="00215384">
        <w:t>Evaluation of Methane Sources in Groundwater</w:t>
      </w:r>
      <w:r>
        <w:t xml:space="preserve"> </w:t>
      </w:r>
      <w:r w:rsidRPr="00215384">
        <w:t>in Northeastern Pennsylvania</w:t>
      </w:r>
      <w:r w:rsidR="00890D80">
        <w:t xml:space="preserve">, Groundwater, </w:t>
      </w:r>
      <w:r w:rsidR="00890D80" w:rsidRPr="00890D80">
        <w:t>Vol</w:t>
      </w:r>
      <w:r w:rsidR="00890D80">
        <w:t>ume</w:t>
      </w:r>
      <w:r w:rsidR="00890D80" w:rsidRPr="00890D80">
        <w:t xml:space="preserve"> 51, N</w:t>
      </w:r>
      <w:r w:rsidR="00890D80">
        <w:t>umber</w:t>
      </w:r>
      <w:r w:rsidR="00890D80" w:rsidRPr="00890D80">
        <w:t xml:space="preserve"> 3</w:t>
      </w:r>
      <w:r w:rsidR="00890D80">
        <w:t>, P</w:t>
      </w:r>
      <w:r w:rsidR="00890D80" w:rsidRPr="00890D80">
        <w:t>ages 333–349</w:t>
      </w:r>
      <w:r w:rsidR="00890D80">
        <w:t xml:space="preserve">, </w:t>
      </w:r>
      <w:r w:rsidR="00890D80" w:rsidRPr="00890D80">
        <w:t>doi: 10.1111/gwat.12056</w:t>
      </w:r>
      <w:r w:rsidR="00890D80">
        <w:t>.</w:t>
      </w:r>
      <w:r w:rsidRPr="00215384">
        <w:t xml:space="preserve"> </w:t>
      </w:r>
    </w:p>
    <w:p w14:paraId="701CCFF8" w14:textId="7E083B4C" w:rsidR="00AE3EC1" w:rsidRDefault="00AE3EC1" w:rsidP="00AE3EC1">
      <w:pPr>
        <w:ind w:left="709" w:hanging="709"/>
      </w:pPr>
      <w:r w:rsidRPr="00AE3EC1">
        <w:rPr>
          <w:caps/>
        </w:rPr>
        <w:t>Moritz, Anja; Hélie, Jean-Francois; Pinti, Daniele L.; Larocque, Marie; Barnetche, Diogo; Retailleau, Sophie; Lefebvre, René; Gélinas, Yves</w:t>
      </w:r>
      <w:r>
        <w:t xml:space="preserve"> (2015) </w:t>
      </w:r>
      <w:r w:rsidRPr="00AE3EC1">
        <w:t>Methane Baseline Concentrations and Sources in Shallow Aquifers</w:t>
      </w:r>
      <w:r>
        <w:t xml:space="preserve"> </w:t>
      </w:r>
      <w:r w:rsidRPr="00AE3EC1">
        <w:t>from the Shale Gas-Prone Region of the St. Lawrence Lowlands</w:t>
      </w:r>
      <w:r>
        <w:t xml:space="preserve"> </w:t>
      </w:r>
      <w:r w:rsidRPr="00AE3EC1">
        <w:t>(Quebec, Canada)</w:t>
      </w:r>
      <w:r>
        <w:t>, Environmental Science &amp; Technology, Volume 49, Pages 4765-4771.</w:t>
      </w:r>
    </w:p>
    <w:p w14:paraId="3083DBAB" w14:textId="2C353A0C" w:rsidR="00DF71EE" w:rsidRDefault="00E24DEB" w:rsidP="00D230D8">
      <w:pPr>
        <w:ind w:left="709" w:hanging="709"/>
      </w:pPr>
      <w:r w:rsidRPr="008A0B6D">
        <w:rPr>
          <w:caps/>
        </w:rPr>
        <w:t>Newell, A.J.; Ward, R.S.; Fellgett, M.W.</w:t>
      </w:r>
      <w:r w:rsidRPr="00E24DEB">
        <w:t xml:space="preserve"> </w:t>
      </w:r>
      <w:r w:rsidR="008A0B6D" w:rsidRPr="00F4644A">
        <w:t>(</w:t>
      </w:r>
      <w:r w:rsidRPr="00F4644A">
        <w:t>2015</w:t>
      </w:r>
      <w:r w:rsidR="008A0B6D" w:rsidRPr="00F4644A">
        <w:t>)</w:t>
      </w:r>
      <w:r w:rsidRPr="00E24DEB">
        <w:t xml:space="preserve"> A preliminary 3D model of post-Permian bedrock geology in the Vale of Pickering, North Yorkshire, UK. Nottingham, UK, British Geological Survey, 23pp. (OR/15/068). </w:t>
      </w:r>
      <w:r w:rsidR="006F6083">
        <w:t xml:space="preserve">Available at: </w:t>
      </w:r>
      <w:r w:rsidRPr="006F6083">
        <w:rPr>
          <w:rStyle w:val="Hyperlink"/>
        </w:rPr>
        <w:t>http://nora.nerc.ac.uk/id/eprint/520795/</w:t>
      </w:r>
      <w:r w:rsidR="006F6083">
        <w:t>, accessed 27 May 2019</w:t>
      </w:r>
      <w:r w:rsidR="00DF71EE">
        <w:t>.</w:t>
      </w:r>
    </w:p>
    <w:p w14:paraId="60E59A37" w14:textId="7C698D00" w:rsidR="006F6083" w:rsidRDefault="00DF71EE" w:rsidP="00D230D8">
      <w:pPr>
        <w:ind w:left="709" w:hanging="709"/>
      </w:pPr>
      <w:r w:rsidRPr="00DF71EE">
        <w:rPr>
          <w:caps/>
        </w:rPr>
        <w:t>Nicol, Andy; Seebeck, Hannu; Field, Brad; McNamara, David; Childs, Conrad; Craig, James; Rolland, Alex</w:t>
      </w:r>
      <w:r w:rsidRPr="00DF71EE">
        <w:t xml:space="preserve"> (2017) Fault permeability and CO2 storage, Energy Procedia, Volume 114, pages 3229-3236</w:t>
      </w:r>
      <w:r w:rsidR="006F6083">
        <w:t>.</w:t>
      </w:r>
    </w:p>
    <w:p w14:paraId="20EDA636" w14:textId="0FCAAC73" w:rsidR="00E24DEB" w:rsidRDefault="006F6083" w:rsidP="00F551B6">
      <w:pPr>
        <w:ind w:left="709" w:hanging="709"/>
      </w:pPr>
      <w:r w:rsidRPr="00F551B6">
        <w:rPr>
          <w:caps/>
        </w:rPr>
        <w:t>Ortiz, John P.; Person, Mark A. ; Mozley, Peter S. ; Evans, James P.</w:t>
      </w:r>
      <w:r w:rsidR="00F551B6" w:rsidRPr="00F551B6">
        <w:rPr>
          <w:caps/>
        </w:rPr>
        <w:t>;</w:t>
      </w:r>
      <w:r w:rsidRPr="00F551B6">
        <w:rPr>
          <w:caps/>
        </w:rPr>
        <w:t xml:space="preserve"> Bilek</w:t>
      </w:r>
      <w:r w:rsidR="00F551B6" w:rsidRPr="00F551B6">
        <w:rPr>
          <w:caps/>
        </w:rPr>
        <w:t>, Susan L.</w:t>
      </w:r>
      <w:r w:rsidR="00F551B6" w:rsidRPr="006F6083">
        <w:t xml:space="preserve"> </w:t>
      </w:r>
      <w:r w:rsidR="00F551B6">
        <w:t>(</w:t>
      </w:r>
      <w:r w:rsidRPr="006F6083">
        <w:t>2</w:t>
      </w:r>
      <w:r w:rsidR="00F551B6">
        <w:t xml:space="preserve">019) </w:t>
      </w:r>
      <w:r w:rsidR="00F551B6" w:rsidRPr="00F551B6">
        <w:t>The Role of Fault-Zone Architectural Elements</w:t>
      </w:r>
      <w:r w:rsidR="00F551B6">
        <w:t xml:space="preserve"> </w:t>
      </w:r>
      <w:r w:rsidR="00F551B6" w:rsidRPr="00F551B6">
        <w:t>on Pore Pressure Propagation and Induced</w:t>
      </w:r>
      <w:r w:rsidR="00F551B6">
        <w:t xml:space="preserve"> </w:t>
      </w:r>
      <w:r w:rsidR="00F551B6" w:rsidRPr="00F551B6">
        <w:t>Seismicity</w:t>
      </w:r>
      <w:r w:rsidR="00F551B6">
        <w:t xml:space="preserve">, </w:t>
      </w:r>
      <w:r w:rsidR="00F551B6" w:rsidRPr="00F551B6">
        <w:t xml:space="preserve">Groundwater </w:t>
      </w:r>
      <w:r w:rsidR="00F551B6">
        <w:t xml:space="preserve">, </w:t>
      </w:r>
      <w:r w:rsidR="00F551B6" w:rsidRPr="00F551B6">
        <w:t>Vol. 57, No. 3</w:t>
      </w:r>
      <w:r w:rsidR="00F551B6">
        <w:t xml:space="preserve">, </w:t>
      </w:r>
      <w:r w:rsidR="00F551B6" w:rsidRPr="00F551B6">
        <w:t>pages 465–478</w:t>
      </w:r>
      <w:r>
        <w:t>.</w:t>
      </w:r>
    </w:p>
    <w:p w14:paraId="0D665876" w14:textId="77777777" w:rsidR="00941403" w:rsidRDefault="002D5E58" w:rsidP="00D230D8">
      <w:pPr>
        <w:ind w:left="709" w:hanging="709"/>
      </w:pPr>
      <w:r w:rsidRPr="006F1EEC">
        <w:rPr>
          <w:caps/>
        </w:rPr>
        <w:t>Oil and Gas Authority</w:t>
      </w:r>
      <w:r w:rsidRPr="006F1EEC">
        <w:t xml:space="preserve"> (n.d.). Interactive Map Viewer [Online]. </w:t>
      </w:r>
      <w:r w:rsidRPr="006F6083">
        <w:rPr>
          <w:rStyle w:val="Hyperlink"/>
        </w:rPr>
        <w:t>https://ogauthority.maps.arcgis.com/apps/webappviewer/index.html?id=29c31fa4b00248418e545d222e57ddaa</w:t>
      </w:r>
      <w:r w:rsidRPr="006F1EEC">
        <w:t>. Accessed (10/12/18)</w:t>
      </w:r>
      <w:r w:rsidR="00941403">
        <w:t>.</w:t>
      </w:r>
    </w:p>
    <w:p w14:paraId="5EFD554F" w14:textId="77777777" w:rsidR="003C4E89" w:rsidRDefault="00941403" w:rsidP="00D230D8">
      <w:pPr>
        <w:ind w:left="709" w:hanging="709"/>
      </w:pPr>
      <w:r w:rsidRPr="00941403">
        <w:rPr>
          <w:caps/>
        </w:rPr>
        <w:t>Perkins, Greg</w:t>
      </w:r>
      <w:r>
        <w:t xml:space="preserve"> (2018) Underground coal gasification – Part I: Field demonstrations and process performance, Progress in Energy and Combustion Science, Volume 67, pages 158-187</w:t>
      </w:r>
      <w:r w:rsidR="003C4E89">
        <w:t>.</w:t>
      </w:r>
    </w:p>
    <w:p w14:paraId="363E02B5" w14:textId="708CD4C8" w:rsidR="004C7832" w:rsidRDefault="003C4E89" w:rsidP="003C4E89">
      <w:pPr>
        <w:ind w:left="709" w:hanging="709"/>
      </w:pPr>
      <w:r w:rsidRPr="006134AA">
        <w:rPr>
          <w:caps/>
        </w:rPr>
        <w:t>Reagan, M. T.; Moridis, G. J.; Keen, N. D.; Johnson, J. N.</w:t>
      </w:r>
      <w:r w:rsidR="006134AA">
        <w:t xml:space="preserve"> (2015)</w:t>
      </w:r>
      <w:r w:rsidRPr="003C4E89">
        <w:t xml:space="preserve"> Numerical</w:t>
      </w:r>
      <w:r>
        <w:t xml:space="preserve"> </w:t>
      </w:r>
      <w:r w:rsidRPr="003C4E89">
        <w:t>simulation of the environmental</w:t>
      </w:r>
      <w:r>
        <w:t xml:space="preserve"> </w:t>
      </w:r>
      <w:r w:rsidRPr="003C4E89">
        <w:t>impact of hydraulic fracturing of tight/shale gas reservoirs on near-surface</w:t>
      </w:r>
      <w:r>
        <w:t xml:space="preserve"> </w:t>
      </w:r>
      <w:r w:rsidRPr="003C4E89">
        <w:t>groundwater: Background, base cases,</w:t>
      </w:r>
      <w:r>
        <w:t xml:space="preserve"> </w:t>
      </w:r>
      <w:r w:rsidRPr="003C4E89">
        <w:t>shallow reservoirs, short-term gas, and</w:t>
      </w:r>
      <w:r>
        <w:t xml:space="preserve"> </w:t>
      </w:r>
      <w:r w:rsidRPr="003C4E89">
        <w:t>water transport, Water Resour</w:t>
      </w:r>
      <w:r>
        <w:t>ces</w:t>
      </w:r>
      <w:r w:rsidRPr="003C4E89">
        <w:t xml:space="preserve"> Res</w:t>
      </w:r>
      <w:r>
        <w:t>earch</w:t>
      </w:r>
      <w:r w:rsidRPr="003C4E89">
        <w:t xml:space="preserve">, </w:t>
      </w:r>
      <w:r>
        <w:t xml:space="preserve">Volume </w:t>
      </w:r>
      <w:r w:rsidRPr="003C4E89">
        <w:t>51,</w:t>
      </w:r>
      <w:r>
        <w:t xml:space="preserve"> Pages </w:t>
      </w:r>
      <w:r w:rsidRPr="003C4E89">
        <w:t>2543–2573, doi:10.1002/2014WR016086</w:t>
      </w:r>
      <w:r w:rsidR="004C7832">
        <w:t>.</w:t>
      </w:r>
    </w:p>
    <w:p w14:paraId="7B8DDF47" w14:textId="4BF6F4F7" w:rsidR="00192693" w:rsidRDefault="004C7832" w:rsidP="004C7832">
      <w:pPr>
        <w:ind w:left="709" w:hanging="709"/>
      </w:pPr>
      <w:r w:rsidRPr="004C7832">
        <w:rPr>
          <w:caps/>
        </w:rPr>
        <w:t>Rinaldi, Antonio Pio; Rutqvist, Jonny; Cappa, Frederic</w:t>
      </w:r>
      <w:r>
        <w:t xml:space="preserve"> (2014)</w:t>
      </w:r>
      <w:r w:rsidRPr="004C7832">
        <w:t xml:space="preserve"> Geomechanical effects on CO2 leakage through fault zones during large-scale underground injection</w:t>
      </w:r>
      <w:r>
        <w:t xml:space="preserve">, </w:t>
      </w:r>
      <w:r w:rsidRPr="004C7832">
        <w:t>International Journal of Greenhouse Gas Control</w:t>
      </w:r>
      <w:r>
        <w:t xml:space="preserve">, Volume </w:t>
      </w:r>
      <w:r w:rsidRPr="004C7832">
        <w:t>20</w:t>
      </w:r>
      <w:r>
        <w:t xml:space="preserve">, Pages </w:t>
      </w:r>
      <w:r w:rsidRPr="004C7832">
        <w:t>117-131</w:t>
      </w:r>
      <w:r>
        <w:t xml:space="preserve">, </w:t>
      </w:r>
      <w:r w:rsidRPr="004C7832">
        <w:t>DOI: 10.1016/j.ijggc.2013.11.001</w:t>
      </w:r>
      <w:r w:rsidR="00192693">
        <w:t>.</w:t>
      </w:r>
    </w:p>
    <w:p w14:paraId="4B7F678A" w14:textId="4E782735" w:rsidR="002D5E58" w:rsidRPr="006F1EEC" w:rsidRDefault="00192693" w:rsidP="00192693">
      <w:pPr>
        <w:ind w:left="709" w:hanging="709"/>
      </w:pPr>
      <w:r w:rsidRPr="00192693">
        <w:rPr>
          <w:caps/>
        </w:rPr>
        <w:t>Rosen, M.A.; Reddy, B.V.; Self, S.J.</w:t>
      </w:r>
      <w:r>
        <w:t xml:space="preserve"> (2018) </w:t>
      </w:r>
      <w:r w:rsidRPr="00192693">
        <w:t>Underground coal gasification</w:t>
      </w:r>
      <w:r>
        <w:t xml:space="preserve"> </w:t>
      </w:r>
      <w:r w:rsidRPr="00192693">
        <w:t>(UCG) modeling and analysis</w:t>
      </w:r>
      <w:r>
        <w:t xml:space="preserve">, in: </w:t>
      </w:r>
      <w:r w:rsidRPr="00192693">
        <w:t>Underground Coal Gasification and Combustion</w:t>
      </w:r>
      <w:r>
        <w:t>, Elsevier,</w:t>
      </w:r>
      <w:r w:rsidRPr="00192693">
        <w:t xml:space="preserve"> https://doi.org/10.1016/B978-0-08-100313-8.00011-6</w:t>
      </w:r>
      <w:r w:rsidR="002D5E58" w:rsidRPr="006F1EEC">
        <w:t xml:space="preserve">. </w:t>
      </w:r>
    </w:p>
    <w:p w14:paraId="4353C087" w14:textId="3EF0CF69" w:rsidR="00AC20DC" w:rsidRDefault="00AC20DC" w:rsidP="00D230D8">
      <w:pPr>
        <w:ind w:left="709" w:hanging="709"/>
      </w:pPr>
      <w:r w:rsidRPr="006F1EEC">
        <w:t>ROTÁR-SZALKAI</w:t>
      </w:r>
      <w:r w:rsidR="00945FC2" w:rsidRPr="006F1EEC">
        <w:t>,</w:t>
      </w:r>
      <w:r w:rsidRPr="006F1EEC">
        <w:t xml:space="preserve"> Á., CSIZMEG</w:t>
      </w:r>
      <w:r w:rsidR="00945FC2" w:rsidRPr="006F1EEC">
        <w:t>,</w:t>
      </w:r>
      <w:r w:rsidRPr="006F1EEC">
        <w:t xml:space="preserve"> J., VETŐ</w:t>
      </w:r>
      <w:r w:rsidR="00945FC2" w:rsidRPr="006F1EEC">
        <w:t>,</w:t>
      </w:r>
      <w:r w:rsidRPr="006F1EEC">
        <w:t xml:space="preserve"> I., KIRÁLY</w:t>
      </w:r>
      <w:r w:rsidR="00945FC2" w:rsidRPr="006F1EEC">
        <w:t>,</w:t>
      </w:r>
      <w:r w:rsidRPr="006F1EEC">
        <w:t xml:space="preserve"> C.S. (2018) Oil Accumulation, Regional Groundwater Flow and Inert Gas Risk In The Southern Danube Basin, Hungary. Interpretation 6 (1), pp. 1-35.</w:t>
      </w:r>
    </w:p>
    <w:p w14:paraId="5730147A" w14:textId="3E117742" w:rsidR="00DF71EE" w:rsidRPr="006F1EEC" w:rsidRDefault="00DF71EE" w:rsidP="00D230D8">
      <w:pPr>
        <w:ind w:left="709" w:hanging="709"/>
      </w:pPr>
      <w:r w:rsidRPr="00DF71EE">
        <w:rPr>
          <w:caps/>
        </w:rPr>
        <w:t>Jonny Rutqvist, Antonio P. Rinaldi, Frederic Cappa, Pierre Jeanne, Alberto Mazzoldi, Luca Urpi, Yves Guglielmi, Victor Vilarras</w:t>
      </w:r>
      <w:r w:rsidRPr="00DF71EE">
        <w:t xml:space="preserve"> (2016) Fault activation and induced seismicity in geological carbon storage - Lessons learned from recent modeling studies, Journal of Rock Mechanics and Geotechnical Engineering, Volume 8, Pages 789-804.</w:t>
      </w:r>
    </w:p>
    <w:p w14:paraId="62044533" w14:textId="048EDD0E" w:rsidR="00F80167" w:rsidRDefault="00F80167" w:rsidP="00D230D8">
      <w:pPr>
        <w:ind w:left="709" w:hanging="709"/>
      </w:pPr>
      <w:r w:rsidRPr="00F80167">
        <w:t>SCHOUT, G., HARTOG, N., HASSANIZADEH, S.M. &amp; GRIFFIOEN, J. (2017) Impact of an historic underground gas well blowout on the current methane chemistry in a shallow groundwater system, PNAS, doi: 10.1073/pnas.1711472115</w:t>
      </w:r>
    </w:p>
    <w:p w14:paraId="455AAF64" w14:textId="10C7B475" w:rsidR="00F80167" w:rsidRDefault="00B40351" w:rsidP="00B40351">
      <w:pPr>
        <w:ind w:left="709" w:hanging="709"/>
      </w:pPr>
      <w:r w:rsidRPr="00B40351">
        <w:rPr>
          <w:caps/>
        </w:rPr>
        <w:t xml:space="preserve">Self, Stuart J.; Reddy, Bale V.; Rosen, Marc A. </w:t>
      </w:r>
      <w:r>
        <w:t xml:space="preserve">(2012) </w:t>
      </w:r>
      <w:r w:rsidRPr="00B40351">
        <w:t>Review of underground coal gasification</w:t>
      </w:r>
      <w:r>
        <w:t xml:space="preserve"> </w:t>
      </w:r>
      <w:r w:rsidRPr="00B40351">
        <w:t>technologies and carbon capture</w:t>
      </w:r>
      <w:r>
        <w:t xml:space="preserve">, </w:t>
      </w:r>
      <w:r w:rsidRPr="00B40351">
        <w:t xml:space="preserve">International Journal of Energy and Environmental Engineering, </w:t>
      </w:r>
      <w:r>
        <w:t xml:space="preserve">Volume </w:t>
      </w:r>
      <w:r w:rsidRPr="00B40351">
        <w:t>3</w:t>
      </w:r>
      <w:r>
        <w:t xml:space="preserve">, Number 1, Article </w:t>
      </w:r>
      <w:r w:rsidRPr="00B40351">
        <w:t>16</w:t>
      </w:r>
      <w:r>
        <w:t xml:space="preserve">, </w:t>
      </w:r>
      <w:hyperlink r:id="rId43" w:history="1">
        <w:r w:rsidRPr="005C76BF">
          <w:rPr>
            <w:rStyle w:val="Hyperlink"/>
          </w:rPr>
          <w:t>http://www.journal-ijeee.com/content/3/1/16</w:t>
        </w:r>
      </w:hyperlink>
      <w:r>
        <w:t>.</w:t>
      </w:r>
    </w:p>
    <w:p w14:paraId="41CE23D8" w14:textId="77777777" w:rsidR="00805FD2" w:rsidRDefault="00E00593" w:rsidP="00B40351">
      <w:pPr>
        <w:ind w:left="709" w:hanging="709"/>
      </w:pPr>
      <w:r w:rsidRPr="00E00593">
        <w:rPr>
          <w:caps/>
        </w:rPr>
        <w:t>Shafirovich, Evgeny; Varma, Arvind</w:t>
      </w:r>
      <w:r>
        <w:t xml:space="preserve"> (2009) </w:t>
      </w:r>
      <w:r w:rsidRPr="00E00593">
        <w:t>Underground Coal Gasification: A Brief Review of Current Status</w:t>
      </w:r>
      <w:r>
        <w:t xml:space="preserve">, </w:t>
      </w:r>
      <w:r w:rsidRPr="00E00593">
        <w:t xml:space="preserve">Industrial &amp; Engineering Chemistry Research, </w:t>
      </w:r>
      <w:r>
        <w:t xml:space="preserve">Volume </w:t>
      </w:r>
      <w:r w:rsidRPr="00E00593">
        <w:t xml:space="preserve">48, </w:t>
      </w:r>
      <w:r>
        <w:t xml:space="preserve">Pages </w:t>
      </w:r>
      <w:r w:rsidRPr="00E00593">
        <w:t>7865–7875</w:t>
      </w:r>
      <w:r w:rsidR="00805FD2">
        <w:t>.</w:t>
      </w:r>
    </w:p>
    <w:p w14:paraId="27682F4A" w14:textId="6BBEC0A0" w:rsidR="00E00593" w:rsidRDefault="00805FD2" w:rsidP="00B40351">
      <w:pPr>
        <w:ind w:left="709" w:hanging="709"/>
      </w:pPr>
      <w:r w:rsidRPr="00805FD2">
        <w:rPr>
          <w:caps/>
        </w:rPr>
        <w:t>Sherwood, O. A.; Rogers, J. D.; Lackey, G.; Burke; T. L.; Osborn, S. G.; Ryan, J. N.</w:t>
      </w:r>
      <w:r w:rsidRPr="00805FD2">
        <w:t xml:space="preserve"> (2016) Groundwater methane in relation to oil and gas development and shallow coal seams in the Denver-Julesburg Basin of Colorado. Proceedings of the National Academy of Sciences of the United States of America, 113(30), 8391–8396. doi:10.1073/pnas.1523267113</w:t>
      </w:r>
      <w:r w:rsidR="00E00593">
        <w:t>.</w:t>
      </w:r>
    </w:p>
    <w:p w14:paraId="607B3A36" w14:textId="1CD205CE" w:rsidR="00FC5553" w:rsidRDefault="00E85684" w:rsidP="00D230D8">
      <w:pPr>
        <w:ind w:left="709" w:hanging="709"/>
      </w:pPr>
      <w:r w:rsidRPr="006F1EEC">
        <w:t>SMEDLEY, P.L.</w:t>
      </w:r>
      <w:r w:rsidR="00805FD2">
        <w:t>;</w:t>
      </w:r>
      <w:r w:rsidRPr="006F1EEC">
        <w:t xml:space="preserve"> WARD, R.S.</w:t>
      </w:r>
      <w:r w:rsidR="00805FD2">
        <w:t>;</w:t>
      </w:r>
      <w:r w:rsidRPr="006F1EEC">
        <w:t xml:space="preserve"> ALLEN, G.</w:t>
      </w:r>
      <w:r w:rsidR="00805FD2">
        <w:t>;</w:t>
      </w:r>
      <w:r w:rsidRPr="006F1EEC">
        <w:t xml:space="preserve"> BAPTIE, B.</w:t>
      </w:r>
      <w:r w:rsidR="00805FD2">
        <w:t>;</w:t>
      </w:r>
      <w:r w:rsidRPr="006F1EEC">
        <w:t xml:space="preserve"> DARAKTCHIEVA, Z.</w:t>
      </w:r>
      <w:r w:rsidR="00805FD2">
        <w:t>;</w:t>
      </w:r>
      <w:r w:rsidRPr="006F1EEC">
        <w:t xml:space="preserve"> JONES, D.G.</w:t>
      </w:r>
      <w:r w:rsidR="00805FD2">
        <w:t>;</w:t>
      </w:r>
      <w:r w:rsidRPr="006F1EEC">
        <w:t xml:space="preserve"> JORDAN, C.J.</w:t>
      </w:r>
      <w:r w:rsidR="00805FD2">
        <w:t>;</w:t>
      </w:r>
      <w:r w:rsidRPr="006F1EEC">
        <w:t xml:space="preserve"> PURVIS, R.M.</w:t>
      </w:r>
      <w:r w:rsidR="00805FD2">
        <w:t>;</w:t>
      </w:r>
      <w:r w:rsidRPr="006F1EEC">
        <w:t xml:space="preserve"> CIGNA, F. (2015) Site selection strategy for environmental monitoring in connection with shale-gas exploration: Vale of Pickering, Yorkshire and Fylde, Lancashire.  BGS Open Report, OR/15/067</w:t>
      </w:r>
      <w:r w:rsidR="00FC5553">
        <w:t>.</w:t>
      </w:r>
    </w:p>
    <w:p w14:paraId="4A75C978" w14:textId="4CE01EFD" w:rsidR="00E85684" w:rsidRPr="006F1EEC" w:rsidRDefault="00FC5553" w:rsidP="00D230D8">
      <w:pPr>
        <w:ind w:left="709" w:hanging="709"/>
      </w:pPr>
      <w:r>
        <w:t>SODM (2017)</w:t>
      </w:r>
      <w:r w:rsidR="000364E1">
        <w:t xml:space="preserve"> Staat van de Sector Geothermie (status of the geothermics sector, in Dutch), </w:t>
      </w:r>
      <w:r w:rsidR="00E9780C">
        <w:t xml:space="preserve">Dutch regulatory agency for activities in the deep subsurface, The Hague, </w:t>
      </w:r>
      <w:r w:rsidR="000364E1">
        <w:t xml:space="preserve">available at: </w:t>
      </w:r>
      <w:r w:rsidR="000364E1" w:rsidRPr="000364E1">
        <w:rPr>
          <w:rStyle w:val="Hyperlink"/>
        </w:rPr>
        <w:t>https://www.sodm.nl/onderwerpen/aardwarmte/documenten/rapporten/2017/07/13/staat-van-de-sector-geothermie</w:t>
      </w:r>
      <w:r w:rsidR="000364E1">
        <w:t>, accessed 4 June 2019</w:t>
      </w:r>
      <w:r w:rsidR="00E85684" w:rsidRPr="006F1EEC">
        <w:t>.</w:t>
      </w:r>
    </w:p>
    <w:p w14:paraId="2A4C31D1" w14:textId="77242493" w:rsidR="000364E1" w:rsidRDefault="000364E1" w:rsidP="00D230D8">
      <w:pPr>
        <w:ind w:left="709" w:hanging="709"/>
      </w:pPr>
      <w:r>
        <w:t>SODM (2019a) Eindrapport de integriteit van de onshore putten in Nederland (</w:t>
      </w:r>
      <w:r w:rsidR="00E9780C">
        <w:t>Integity of onshore wells in the Netherlands</w:t>
      </w:r>
      <w:r>
        <w:t xml:space="preserve">), </w:t>
      </w:r>
      <w:r w:rsidR="00E9780C">
        <w:t xml:space="preserve">Dutch regulatory agency for activities in the deep subsurface, The Hague, </w:t>
      </w:r>
      <w:r>
        <w:t xml:space="preserve">available at: </w:t>
      </w:r>
      <w:r w:rsidRPr="000364E1">
        <w:rPr>
          <w:rStyle w:val="Hyperlink"/>
        </w:rPr>
        <w:t>https://www.sodm.nl/documenten/rapporten/2019/02/07/de-integriteit-van-onshore-putten-in-nederland</w:t>
      </w:r>
      <w:r>
        <w:t>, accessed 4 June 2019.</w:t>
      </w:r>
    </w:p>
    <w:p w14:paraId="248E4DCF" w14:textId="5862B329" w:rsidR="00976A90" w:rsidRDefault="00976A90" w:rsidP="00D230D8">
      <w:pPr>
        <w:ind w:left="709" w:hanging="709"/>
      </w:pPr>
      <w:r>
        <w:t>SODM (2019</w:t>
      </w:r>
      <w:r w:rsidR="000364E1">
        <w:t>b</w:t>
      </w:r>
      <w:r>
        <w:t xml:space="preserve">) Dutch regulatory agency for activities in the deep subsurface, </w:t>
      </w:r>
      <w:hyperlink r:id="rId44" w:history="1">
        <w:r w:rsidRPr="009553AB">
          <w:rPr>
            <w:rStyle w:val="Hyperlink"/>
          </w:rPr>
          <w:t>https://www.sodm.nl/sitemap</w:t>
        </w:r>
      </w:hyperlink>
      <w:r>
        <w:t>, accessed 4 April 2019.</w:t>
      </w:r>
    </w:p>
    <w:p w14:paraId="6126A8C5" w14:textId="77777777" w:rsidR="00E00593" w:rsidRDefault="00E00593" w:rsidP="00E00593">
      <w:pPr>
        <w:ind w:left="709" w:hanging="709"/>
      </w:pPr>
      <w:r w:rsidRPr="00F80167">
        <w:t>SOEDER, D.J. (2018) Groundwater Quality and Hydraulic Fracturing: Current Understanding and Science Needs, Issue Paper, Groundwater, Vol. 56, No. 6, pages 852–858, November-December 2018</w:t>
      </w:r>
      <w:r>
        <w:t>.</w:t>
      </w:r>
    </w:p>
    <w:p w14:paraId="37AB40F4" w14:textId="77777777" w:rsidR="001A31FA" w:rsidRDefault="00AC20DC" w:rsidP="00D230D8">
      <w:pPr>
        <w:ind w:left="709" w:hanging="709"/>
      </w:pPr>
      <w:r w:rsidRPr="006F1EEC">
        <w:t>SZAMOSFALVI</w:t>
      </w:r>
      <w:r w:rsidR="00945FC2" w:rsidRPr="006F1EEC">
        <w:t>,</w:t>
      </w:r>
      <w:r w:rsidRPr="006F1EEC">
        <w:t xml:space="preserve"> </w:t>
      </w:r>
      <w:r w:rsidR="002D5E58" w:rsidRPr="006F1EEC">
        <w:t>Á.,</w:t>
      </w:r>
      <w:r w:rsidRPr="006F1EEC">
        <w:t xml:space="preserve"> ZILAHI-SEBESS</w:t>
      </w:r>
      <w:r w:rsidR="00945FC2" w:rsidRPr="006F1EEC">
        <w:t>,</w:t>
      </w:r>
      <w:r w:rsidRPr="006F1EEC">
        <w:t xml:space="preserve"> L., KIRÁLY</w:t>
      </w:r>
      <w:r w:rsidR="00945FC2" w:rsidRPr="006F1EEC">
        <w:t>,</w:t>
      </w:r>
      <w:r w:rsidRPr="006F1EEC">
        <w:t xml:space="preserve"> C</w:t>
      </w:r>
      <w:r w:rsidR="00945FC2" w:rsidRPr="006F1EEC">
        <w:t>.</w:t>
      </w:r>
      <w:r w:rsidRPr="006F1EEC">
        <w:t>S., JOBBIK</w:t>
      </w:r>
      <w:r w:rsidR="00945FC2" w:rsidRPr="006F1EEC">
        <w:t>,</w:t>
      </w:r>
      <w:r w:rsidRPr="006F1EEC">
        <w:t xml:space="preserve"> A., SZALAI</w:t>
      </w:r>
      <w:r w:rsidR="00945FC2" w:rsidRPr="006F1EEC">
        <w:t>,</w:t>
      </w:r>
      <w:r w:rsidRPr="006F1EEC">
        <w:t xml:space="preserve"> Z., FALUS</w:t>
      </w:r>
      <w:r w:rsidR="00945FC2" w:rsidRPr="006F1EEC">
        <w:t>,</w:t>
      </w:r>
      <w:r w:rsidRPr="006F1EEC">
        <w:t xml:space="preserve"> G.Y. </w:t>
      </w:r>
      <w:r w:rsidR="00945FC2" w:rsidRPr="006F1EEC">
        <w:t>(</w:t>
      </w:r>
      <w:r w:rsidRPr="006F1EEC">
        <w:t>2017</w:t>
      </w:r>
      <w:r w:rsidR="00945FC2" w:rsidRPr="006F1EEC">
        <w:t>)</w:t>
      </w:r>
      <w:r w:rsidRPr="006F1EEC">
        <w:t xml:space="preserve"> New investigation of old well-logs and core samples in a natural CO2 occurrence. Energy Procedia 114, pp. 4477 – 4485</w:t>
      </w:r>
      <w:r w:rsidR="001A31FA">
        <w:t>.</w:t>
      </w:r>
    </w:p>
    <w:p w14:paraId="7F0DDD32" w14:textId="6A28E9F6" w:rsidR="00AC20DC" w:rsidRPr="006F1EEC" w:rsidRDefault="001A31FA" w:rsidP="00D230D8">
      <w:pPr>
        <w:ind w:left="709" w:hanging="709"/>
      </w:pPr>
      <w:r w:rsidRPr="001A31FA">
        <w:rPr>
          <w:caps/>
        </w:rPr>
        <w:t>Taherdangkoo, Reza; Tatomir, Alexandru; Taylor, Robert; Sauter, Martin</w:t>
      </w:r>
      <w:r w:rsidRPr="001A31FA">
        <w:t xml:space="preserve"> (2017) Numerical investigations of upward migration of fracking fluid along a fault zone during and after stimulation, Energy Procedia, Volume 125, Pages 126-135</w:t>
      </w:r>
      <w:r w:rsidR="00AC20DC" w:rsidRPr="006F1EEC">
        <w:t>.</w:t>
      </w:r>
    </w:p>
    <w:p w14:paraId="3D155F49" w14:textId="77777777" w:rsidR="00846511" w:rsidRPr="003415EF" w:rsidRDefault="00AC20DC" w:rsidP="00D230D8">
      <w:pPr>
        <w:ind w:left="709" w:hanging="709"/>
      </w:pPr>
      <w:r w:rsidRPr="006F1EEC">
        <w:t>TARI</w:t>
      </w:r>
      <w:r w:rsidR="00945FC2" w:rsidRPr="006F1EEC">
        <w:t>,</w:t>
      </w:r>
      <w:r w:rsidRPr="006F1EEC">
        <w:t xml:space="preserve"> G. AND HORVÁTH</w:t>
      </w:r>
      <w:r w:rsidR="00945FC2" w:rsidRPr="006F1EEC">
        <w:t>,</w:t>
      </w:r>
      <w:r w:rsidRPr="006F1EEC">
        <w:t xml:space="preserve"> F.</w:t>
      </w:r>
      <w:r w:rsidR="00945FC2" w:rsidRPr="006F1EEC">
        <w:t xml:space="preserve"> (</w:t>
      </w:r>
      <w:r w:rsidRPr="006F1EEC">
        <w:t>2010</w:t>
      </w:r>
      <w:r w:rsidR="00945FC2" w:rsidRPr="006F1EEC">
        <w:t>)</w:t>
      </w:r>
      <w:r w:rsidRPr="006F1EEC">
        <w:t xml:space="preserve"> Eo-Alpine evolution of the Transdanubian Range in the nappe system of the Eastern Alps: revival of a 15 years old tectonic model. </w:t>
      </w:r>
      <w:r w:rsidRPr="003415EF">
        <w:t>Földtani Közlöny, 140/4, pp.483–510</w:t>
      </w:r>
      <w:r w:rsidR="00846511" w:rsidRPr="003415EF">
        <w:t>.</w:t>
      </w:r>
    </w:p>
    <w:p w14:paraId="410FA29A" w14:textId="77777777" w:rsidR="00FA0FDF" w:rsidRDefault="00846511" w:rsidP="00D230D8">
      <w:pPr>
        <w:ind w:left="709" w:hanging="709"/>
      </w:pPr>
      <w:r w:rsidRPr="003415EF">
        <w:t>TEATINI, P., ZOCCARATO, C., FERRONATO, M., FRANCESCHINI, A., ISOTTON, G., FRIGO, M., CARLO JANNA, C. (2019) Safe Operational Bandwidth of Gas Storage Reservoirs, WP7 Report, Phase 1 &amp; Phase 2 Final Report, Department of Civil, Environmental and Architectural Engineering, Università degli Studi Di Padova, Padova, Italy, January 2019</w:t>
      </w:r>
      <w:r w:rsidR="00FA0FDF">
        <w:t>.</w:t>
      </w:r>
    </w:p>
    <w:p w14:paraId="0E386E24" w14:textId="28D699E0" w:rsidR="00D66F7D" w:rsidRDefault="00FA0FDF" w:rsidP="00FA0FDF">
      <w:pPr>
        <w:ind w:left="709" w:hanging="709"/>
      </w:pPr>
      <w:r w:rsidRPr="00025EB8">
        <w:rPr>
          <w:caps/>
        </w:rPr>
        <w:t>Thorogood, J.L.; Younger, P.L.</w:t>
      </w:r>
      <w:r>
        <w:t xml:space="preserve"> (2015) Discussion of “Oil and gas wells and their integrity: Implications for</w:t>
      </w:r>
      <w:r w:rsidR="00EA2F91">
        <w:t xml:space="preserve"> </w:t>
      </w:r>
      <w:r>
        <w:t>shale and unconventional resource exploitation” by R.J. Davies,</w:t>
      </w:r>
      <w:r w:rsidR="00EA2F91">
        <w:t xml:space="preserve"> </w:t>
      </w:r>
      <w:r>
        <w:t>S. Almond, R.S., Ward, R.B. Jackson, C. Adams, F. Worrall,</w:t>
      </w:r>
      <w:r w:rsidR="00EA2F91">
        <w:t xml:space="preserve"> </w:t>
      </w:r>
      <w:r>
        <w:t>L.G. Herringshaw, J.G. Gluyas and M.A. Whitehead.</w:t>
      </w:r>
      <w:r w:rsidR="00EA2F91">
        <w:t xml:space="preserve"> </w:t>
      </w:r>
      <w:r>
        <w:t>(Marine and Petroleum Geology 2014),</w:t>
      </w:r>
      <w:r w:rsidRPr="00FA0FDF">
        <w:t xml:space="preserve"> Marine and </w:t>
      </w:r>
      <w:r>
        <w:t>Petroleum Geology, Volume 59, Pages 671-</w:t>
      </w:r>
      <w:r w:rsidRPr="00FA0FDF">
        <w:t>673</w:t>
      </w:r>
      <w:r w:rsidR="00846511" w:rsidRPr="003415EF">
        <w:t>.</w:t>
      </w:r>
    </w:p>
    <w:p w14:paraId="4BD9EF34" w14:textId="68FF1BCB" w:rsidR="00FC7CF1" w:rsidRPr="003415EF" w:rsidRDefault="00FC7CF1" w:rsidP="00FA0FDF">
      <w:pPr>
        <w:ind w:left="709" w:hanging="709"/>
        <w:rPr>
          <w:caps/>
        </w:rPr>
      </w:pPr>
      <w:r w:rsidRPr="00FC7CF1">
        <w:rPr>
          <w:caps/>
        </w:rPr>
        <w:t xml:space="preserve">US EPA. 2016. </w:t>
      </w:r>
      <w:r w:rsidRPr="00FC7CF1">
        <w:t>Hydraulic Fracturing for Oil and Gas: Impacts from the Hydraulic Fracturing Water Cycle on Drinking Water Resources in the United States (Final Report). U.S. Environmental Protection Agency, Washington, DC, EPA/600/R-16/236F.</w:t>
      </w:r>
    </w:p>
    <w:p w14:paraId="0F15FE0C" w14:textId="77777777" w:rsidR="007E26A9" w:rsidRDefault="006F1EEC" w:rsidP="00D230D8">
      <w:pPr>
        <w:ind w:left="709" w:hanging="709"/>
      </w:pPr>
      <w:r w:rsidRPr="00772F42">
        <w:rPr>
          <w:caps/>
        </w:rPr>
        <w:t xml:space="preserve">van den Berg, M., Vanneste, K., Dost, B., Lokhorst, A., van Eijk, M., </w:t>
      </w:r>
      <w:r w:rsidRPr="006F1EEC">
        <w:rPr>
          <w:caps/>
        </w:rPr>
        <w:t>Verbeeck</w:t>
      </w:r>
      <w:r>
        <w:rPr>
          <w:caps/>
        </w:rPr>
        <w:t>, K. (2002)</w:t>
      </w:r>
      <w:r w:rsidR="00A0681D">
        <w:rPr>
          <w:caps/>
        </w:rPr>
        <w:t xml:space="preserve"> </w:t>
      </w:r>
      <w:r w:rsidR="00A0681D" w:rsidRPr="00A0681D">
        <w:t>Paleoseismic investigations along the Peel</w:t>
      </w:r>
      <w:r w:rsidR="00A0681D">
        <w:t xml:space="preserve"> </w:t>
      </w:r>
      <w:r w:rsidR="00A0681D" w:rsidRPr="00A0681D">
        <w:t>Boundary Fault: geological setting, site selection</w:t>
      </w:r>
      <w:r w:rsidR="00A0681D">
        <w:t xml:space="preserve"> </w:t>
      </w:r>
      <w:r w:rsidR="00A0681D" w:rsidRPr="00A0681D">
        <w:t>and trenching results</w:t>
      </w:r>
      <w:r w:rsidR="00A0681D">
        <w:t>, Netherlands Journal of Geosciences, 81 (1) pp.39-60</w:t>
      </w:r>
      <w:r w:rsidR="007E26A9">
        <w:t>.</w:t>
      </w:r>
    </w:p>
    <w:p w14:paraId="0322B37A" w14:textId="04C7D88A" w:rsidR="006F1EEC" w:rsidRPr="00A0681D" w:rsidRDefault="007E26A9" w:rsidP="00D230D8">
      <w:pPr>
        <w:ind w:left="709" w:hanging="709"/>
      </w:pPr>
      <w:r w:rsidRPr="007E26A9">
        <w:rPr>
          <w:caps/>
        </w:rPr>
        <w:t xml:space="preserve">Van Lopik, Jan.H.; Hartog, Niels; Zaadnoordijk, Willem Jan; Cirkel, D. Gijsbert, Raoof, Amir </w:t>
      </w:r>
      <w:r>
        <w:t xml:space="preserve">(2015) </w:t>
      </w:r>
      <w:r w:rsidRPr="007E26A9">
        <w:t>Salinization in a stratified aquifer induced by heat transfer from well casings</w:t>
      </w:r>
      <w:r>
        <w:t xml:space="preserve">, Advances in Water Resources, Volume 86, Part A, Pages 32-45, </w:t>
      </w:r>
      <w:r w:rsidRPr="007E26A9">
        <w:t>https://doi.org/10.1016/j.advwatres.2015.09.025</w:t>
      </w:r>
      <w:r w:rsidR="00A0681D">
        <w:t>.</w:t>
      </w:r>
    </w:p>
    <w:p w14:paraId="2F76917F" w14:textId="7E9EF5BE" w:rsidR="004F3D3A" w:rsidRDefault="004F3D3A" w:rsidP="00D230D8">
      <w:pPr>
        <w:ind w:left="709" w:hanging="709"/>
        <w:rPr>
          <w:caps/>
        </w:rPr>
      </w:pPr>
      <w:r w:rsidRPr="004F3D3A">
        <w:rPr>
          <w:caps/>
        </w:rPr>
        <w:t xml:space="preserve">VERBEECK, K. (2019) </w:t>
      </w:r>
      <w:r w:rsidRPr="004F3D3A">
        <w:t>Deterministic seismic hazard assessment in the Belgian Campine Basin at the Mol/Dessel site: from seismic source to site effect. Dissertation presented in partial fulfilment of the requirements for the degree of Doctor of Science (PhD): Geology, KULeuven, 398 pp.</w:t>
      </w:r>
    </w:p>
    <w:p w14:paraId="0D08D092" w14:textId="77777777" w:rsidR="00372273" w:rsidRDefault="0051313A" w:rsidP="00D230D8">
      <w:pPr>
        <w:ind w:left="709" w:hanging="709"/>
      </w:pPr>
      <w:r w:rsidRPr="006F1EEC">
        <w:rPr>
          <w:caps/>
        </w:rPr>
        <w:t>Vandersteen, K., Gedeon, M., Marivoet, J., Wouters, L. (</w:t>
      </w:r>
      <w:r w:rsidRPr="006F1EEC">
        <w:t>2014) Regional groundwater flow modelling of the confined aquifers below the Boom Clay in NE Belgium. Geological Society, London, Special Publications 400, 163-177</w:t>
      </w:r>
      <w:r w:rsidR="00372273">
        <w:t>.</w:t>
      </w:r>
    </w:p>
    <w:p w14:paraId="1288305B" w14:textId="3BC12F83" w:rsidR="0051313A" w:rsidRPr="006F1EEC" w:rsidRDefault="00372273" w:rsidP="00D230D8">
      <w:pPr>
        <w:ind w:left="709" w:hanging="709"/>
      </w:pPr>
      <w:r w:rsidRPr="00372273">
        <w:t>VAN GESSEL, S.F., BREUNESE, J., JUEZ LARRé, J., HUIJSKES, T.D., REMMELTS, G. (2018) Ondergrondse Opslag in Nederland - Technische Verkenning (subsurface storage in the Netherlands - a technical survey; in Dutch), TNO report 2018 R11372, TNO Utrecht, the Netherlands, 1 November 2018</w:t>
      </w:r>
      <w:r w:rsidR="0051313A" w:rsidRPr="006F1EEC">
        <w:t>.</w:t>
      </w:r>
    </w:p>
    <w:p w14:paraId="0DB3DCA4" w14:textId="3A8C773D" w:rsidR="0051313A" w:rsidRPr="00790DED" w:rsidRDefault="0051313A" w:rsidP="00D230D8">
      <w:pPr>
        <w:ind w:left="709" w:hanging="709"/>
        <w:rPr>
          <w:lang w:val="nl-NL"/>
        </w:rPr>
      </w:pPr>
      <w:r w:rsidRPr="006F1EEC">
        <w:rPr>
          <w:caps/>
        </w:rPr>
        <w:t xml:space="preserve">Verbeeck, K., Wouters, L., Vanneste, K., Camelbeeck, T., Vandenberghe, D., Beerten, K., Rogiers, B., Schiltz, M., Burow, C., Mees, P., De Grave, J., Vandenberghe, N. </w:t>
      </w:r>
      <w:r w:rsidRPr="006F1EEC">
        <w:t xml:space="preserve">(2017) Episodic activity of a dormant fault in tectonically stable Europe : the Rauw fault (NE Belgium). </w:t>
      </w:r>
      <w:r w:rsidRPr="00790DED">
        <w:rPr>
          <w:lang w:val="nl-NL"/>
        </w:rPr>
        <w:t>Tectonophysics 699, 146-163.</w:t>
      </w:r>
    </w:p>
    <w:p w14:paraId="4824414A" w14:textId="77777777" w:rsidR="0051313A" w:rsidRPr="00790DED" w:rsidRDefault="0051313A" w:rsidP="00D230D8">
      <w:pPr>
        <w:ind w:left="709" w:hanging="709"/>
        <w:rPr>
          <w:lang w:val="nl-NL"/>
        </w:rPr>
      </w:pPr>
      <w:r w:rsidRPr="00790DED">
        <w:rPr>
          <w:caps/>
          <w:lang w:val="nl-NL"/>
        </w:rPr>
        <w:t>Vernes, R.W., Deckers, J., Bakker, M.A.J., Bogemans, F., De Ceukelaire, M., Doornenbal, J.C., den Dulk, M., Dusar, M., Van Haren, T.F.M., Heyvaert, V.M.A., Kiden, P., Kruisselbrink, A.F., Lanckacker, T., Menkovic, A., Meyvis, B., Munsterman, D.K., Reindersma, R., ten Veen, J.H., van de Ven, T.J.M., Walstra, J., Witmans, N.</w:t>
      </w:r>
      <w:r w:rsidRPr="00790DED">
        <w:rPr>
          <w:lang w:val="nl-NL"/>
        </w:rPr>
        <w:t xml:space="preserve"> (2018) Geologisch en hydrogeologisch 3D model van het Cenozoïcum van de Belgisch-Nederlandse grensstreek van Midden-Brabant / De Kempen (H3O – De Kempen). Studie uitgevoerd door VITO, TNO-Geologische Dienst Nederland en de Belgische Geologische Dienst in opdracht van Vlaams Planbureau voor Omgeving, Vlaamse Milieumaatschappij,  TNO, Geologische Dienst Nederland, Nederlandse Provincie Noord-Brabant, Brabant Water, Programmabureau KRW/DHZ Maasregio.</w:t>
      </w:r>
    </w:p>
    <w:p w14:paraId="2EBCACCB" w14:textId="77777777" w:rsidR="00376161" w:rsidRDefault="00E85684" w:rsidP="00D230D8">
      <w:pPr>
        <w:ind w:left="709" w:hanging="709"/>
      </w:pPr>
      <w:r w:rsidRPr="00790DED">
        <w:rPr>
          <w:lang w:val="nl-NL"/>
        </w:rPr>
        <w:t xml:space="preserve">WARD, R.S.; SMEDLEY, P.L.; ALLEN, G.; BAPTIE, B.J.; DARAKTCHIEVA, Z.; HORLESTON, A.; JONES, D.G.; JORDAN, C.J.; LEWIS, A.; LOWRY, D.; PURVIS, R.M.; RIVETT, M.O.. </w:t>
      </w:r>
      <w:r w:rsidRPr="006F1EEC">
        <w:t>2017 Environmental Baseline Monitoring Project. Phase II, final report. British Geological Survey, 163pp. (OR/17/049) (Unpublished)</w:t>
      </w:r>
      <w:r w:rsidR="00376161">
        <w:t>.</w:t>
      </w:r>
    </w:p>
    <w:p w14:paraId="6B363296" w14:textId="371FEF1F" w:rsidR="00463110" w:rsidRDefault="00376161" w:rsidP="00376161">
      <w:pPr>
        <w:ind w:left="709" w:hanging="709"/>
      </w:pPr>
      <w:r w:rsidRPr="00864810">
        <w:rPr>
          <w:caps/>
        </w:rPr>
        <w:t>Warner, Nathaniel R.; Jackson, Robert B.; Darrah, Thomas H.; Osborn, Stephen G.; Down, Adrian; Zhao, Kaiguang; White, Alissa; Vengosh, Avner</w:t>
      </w:r>
      <w:r w:rsidRPr="00376161">
        <w:t xml:space="preserve"> </w:t>
      </w:r>
      <w:r>
        <w:t xml:space="preserve">(2012) </w:t>
      </w:r>
      <w:r w:rsidRPr="00376161">
        <w:t>Geochemical evidence for possible natural</w:t>
      </w:r>
      <w:r>
        <w:t xml:space="preserve"> </w:t>
      </w:r>
      <w:r w:rsidRPr="00376161">
        <w:t>migration of Marcellus Formation brine to</w:t>
      </w:r>
      <w:r>
        <w:t xml:space="preserve"> </w:t>
      </w:r>
      <w:r w:rsidRPr="00376161">
        <w:t>shallow aquifers in Pennsylvania</w:t>
      </w:r>
      <w:r>
        <w:t xml:space="preserve">, PNAS, Volume 109, Number 30, Pages </w:t>
      </w:r>
      <w:r w:rsidR="00BF6E8B" w:rsidRPr="00BF6E8B">
        <w:t>11961-11966</w:t>
      </w:r>
      <w:r>
        <w:t xml:space="preserve">, </w:t>
      </w:r>
      <w:r w:rsidRPr="00376161">
        <w:t>doi:10.1073/pnas.1121181109</w:t>
      </w:r>
      <w:r w:rsidR="00463110">
        <w:t>.</w:t>
      </w:r>
    </w:p>
    <w:p w14:paraId="5246DA04" w14:textId="0B8CF4A3" w:rsidR="009649FE" w:rsidRDefault="00463110" w:rsidP="00463110">
      <w:pPr>
        <w:ind w:left="709" w:hanging="709"/>
      </w:pPr>
      <w:r w:rsidRPr="00463110">
        <w:rPr>
          <w:caps/>
        </w:rPr>
        <w:t>Younger, Paul L. (2016)</w:t>
      </w:r>
      <w:r>
        <w:t xml:space="preserve"> </w:t>
      </w:r>
      <w:r w:rsidRPr="00463110">
        <w:t>How can we be sure fracking will not pollute aquifers?</w:t>
      </w:r>
      <w:r>
        <w:t xml:space="preserve"> </w:t>
      </w:r>
      <w:r w:rsidRPr="00463110">
        <w:t>Lessons from a major longwall coal mining analogue</w:t>
      </w:r>
      <w:r>
        <w:t xml:space="preserve"> </w:t>
      </w:r>
      <w:r w:rsidRPr="00463110">
        <w:t>(Selby, Yorkshire, UK)</w:t>
      </w:r>
      <w:r>
        <w:t xml:space="preserve">, </w:t>
      </w:r>
      <w:r w:rsidRPr="00463110">
        <w:t xml:space="preserve">Earth and Environmental Science Transactions of the Royal Society of Edinburgh, </w:t>
      </w:r>
      <w:r>
        <w:t xml:space="preserve">Volume </w:t>
      </w:r>
      <w:r w:rsidRPr="00463110">
        <w:t xml:space="preserve">106, </w:t>
      </w:r>
      <w:r>
        <w:t xml:space="preserve">Pages </w:t>
      </w:r>
      <w:r w:rsidRPr="00463110">
        <w:t>89–113</w:t>
      </w:r>
      <w:r w:rsidR="009649FE">
        <w:t>.</w:t>
      </w:r>
    </w:p>
    <w:p w14:paraId="720AB5EB" w14:textId="1C4539D7" w:rsidR="00E85684" w:rsidRPr="006F1EEC" w:rsidRDefault="009649FE" w:rsidP="00D230D8">
      <w:pPr>
        <w:ind w:left="709" w:hanging="709"/>
      </w:pPr>
      <w:r w:rsidRPr="009649FE">
        <w:rPr>
          <w:caps/>
        </w:rPr>
        <w:t>Zang, Arno; Oye, Volker; Jousset, Philippe; Deichmann, Nicholas; Gritto, Roland; McGarr, Art; Majer, Ernest; Bruhn, David</w:t>
      </w:r>
      <w:r w:rsidRPr="009649FE">
        <w:t xml:space="preserve"> (2014) Analysis of induced seismicity in geothermal reservoirs – An overview, Geothermics, Volume 52, Pages 6-21, https://doi.org/10.1016/j.geothermics.2014.06.005</w:t>
      </w:r>
      <w:r>
        <w:t>.</w:t>
      </w:r>
    </w:p>
    <w:p w14:paraId="1FF1F01C" w14:textId="5D8010BF" w:rsidR="00E85684" w:rsidRDefault="0066607A" w:rsidP="0066607A">
      <w:pPr>
        <w:ind w:left="709" w:hanging="709"/>
      </w:pPr>
      <w:r w:rsidRPr="0066607A">
        <w:rPr>
          <w:caps/>
        </w:rPr>
        <w:t xml:space="preserve">Zhonglan, Tian; Lin, Shi; Lei, Qiao (2015) </w:t>
      </w:r>
      <w:r w:rsidRPr="0066607A">
        <w:t>Problems in the wellbore integrity of a shale gas horizontal well and</w:t>
      </w:r>
      <w:r>
        <w:t xml:space="preserve"> </w:t>
      </w:r>
      <w:r w:rsidRPr="0066607A">
        <w:t>corresponding countermeasures, Natural Gas Industry B</w:t>
      </w:r>
      <w:r>
        <w:t>, Volume</w:t>
      </w:r>
      <w:r w:rsidRPr="0066607A">
        <w:t xml:space="preserve"> 2</w:t>
      </w:r>
      <w:r>
        <w:t>, Pages</w:t>
      </w:r>
      <w:r w:rsidRPr="0066607A">
        <w:t xml:space="preserve"> 522</w:t>
      </w:r>
      <w:r>
        <w:t>-</w:t>
      </w:r>
      <w:r w:rsidRPr="0066607A">
        <w:t>529</w:t>
      </w:r>
      <w:r>
        <w:t xml:space="preserve">, </w:t>
      </w:r>
      <w:hyperlink r:id="rId45" w:history="1">
        <w:r w:rsidRPr="005C76BF">
          <w:rPr>
            <w:rStyle w:val="Hyperlink"/>
          </w:rPr>
          <w:t>http://dx.doi.org/10.1016/j.ngib.2015.12.006</w:t>
        </w:r>
      </w:hyperlink>
      <w:r>
        <w:t>.</w:t>
      </w:r>
    </w:p>
    <w:p w14:paraId="10C89F6F" w14:textId="77777777" w:rsidR="0066607A" w:rsidRPr="0066607A" w:rsidRDefault="0066607A" w:rsidP="0066607A">
      <w:pPr>
        <w:ind w:left="709" w:hanging="709"/>
      </w:pPr>
    </w:p>
    <w:p w14:paraId="1A1BE663" w14:textId="77777777" w:rsidR="003E3FB2" w:rsidRPr="006F1EEC" w:rsidRDefault="003E3FB2" w:rsidP="00C554D9">
      <w:pPr>
        <w:spacing w:before="139" w:after="120"/>
        <w:ind w:right="112"/>
        <w:rPr>
          <w:rFonts w:asciiTheme="minorHAnsi" w:hAnsiTheme="minorHAnsi"/>
          <w:sz w:val="22"/>
        </w:rPr>
      </w:pPr>
    </w:p>
    <w:sectPr w:rsidR="003E3FB2" w:rsidRPr="006F1EEC" w:rsidSect="003E3FB2">
      <w:headerReference w:type="even" r:id="rId46"/>
      <w:footerReference w:type="even" r:id="rId47"/>
      <w:footerReference w:type="default" r:id="rId48"/>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F1830E4" w14:textId="77777777" w:rsidR="008B0B95" w:rsidRDefault="008B0B95" w:rsidP="00823DDB">
      <w:pPr>
        <w:pStyle w:val="xkaSkjemaTittel"/>
      </w:pPr>
      <w:r>
        <w:separator/>
      </w:r>
    </w:p>
  </w:endnote>
  <w:endnote w:type="continuationSeparator" w:id="0">
    <w:p w14:paraId="06E547FA" w14:textId="77777777" w:rsidR="008B0B95" w:rsidRDefault="008B0B95" w:rsidP="00823DDB">
      <w:pPr>
        <w:pStyle w:val="xkaSkjemaTittel"/>
      </w:pPr>
      <w:r>
        <w:continuationSeparator/>
      </w:r>
    </w:p>
  </w:endnote>
  <w:endnote w:type="continuationNotice" w:id="1">
    <w:p w14:paraId="151A4C03" w14:textId="77777777" w:rsidR="008B0B95" w:rsidRDefault="008B0B9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AF8BA5" w14:textId="77777777" w:rsidR="008B0B95" w:rsidRDefault="008B0B95" w:rsidP="005C2030">
    <w:pPr>
      <w:pStyle w:val="Sidefod"/>
    </w:pPr>
    <w:r>
      <w:tab/>
    </w:r>
    <w:r>
      <w:tab/>
    </w:r>
    <w:r>
      <w:tab/>
    </w:r>
  </w:p>
  <w:p w14:paraId="448CF063" w14:textId="77777777" w:rsidR="008B0B95" w:rsidRPr="005C2030" w:rsidRDefault="008B0B95" w:rsidP="005C2030">
    <w:pPr>
      <w:pStyle w:val="Sidefo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B2B55A" w14:textId="5FB2B362" w:rsidR="008B0B95" w:rsidRPr="005F6086" w:rsidRDefault="008B0B95">
    <w:pPr>
      <w:pStyle w:val="Rubricering"/>
      <w:jc w:val="right"/>
      <w:rPr>
        <w:lang w:val="da-DK"/>
      </w:rPr>
    </w:pPr>
    <w:r>
      <w:fldChar w:fldCharType="begin"/>
    </w:r>
    <w:r w:rsidRPr="005F6086">
      <w:rPr>
        <w:lang w:val="da-DK"/>
      </w:rPr>
      <w:instrText xml:space="preserve"> IF </w:instrText>
    </w:r>
    <w:r>
      <w:fldChar w:fldCharType="begin"/>
    </w:r>
    <w:r w:rsidRPr="005F6086">
      <w:rPr>
        <w:lang w:val="da-DK"/>
      </w:rPr>
      <w:instrText xml:space="preserve"> DOCPROPERTY CBORAPPORTTEKST </w:instrText>
    </w:r>
    <w:r>
      <w:fldChar w:fldCharType="separate"/>
    </w:r>
    <w:r>
      <w:rPr>
        <w:b w:val="0"/>
        <w:bCs/>
        <w:lang w:val="en-US"/>
      </w:rPr>
      <w:instrText>Error! Unknown document property name.</w:instrText>
    </w:r>
    <w:r>
      <w:fldChar w:fldCharType="end"/>
    </w:r>
    <w:r w:rsidRPr="005F6086">
      <w:rPr>
        <w:lang w:val="da-DK"/>
      </w:rPr>
      <w:instrText xml:space="preserve"> = " " "" </w:instrText>
    </w:r>
    <w:r>
      <w:fldChar w:fldCharType="begin"/>
    </w:r>
    <w:r w:rsidRPr="005F6086">
      <w:rPr>
        <w:lang w:val="da-DK"/>
      </w:rPr>
      <w:instrText xml:space="preserve"> DOCPROPERTY CBORAPPORTTEKST \* CHARFORMAT </w:instrText>
    </w:r>
    <w:r>
      <w:fldChar w:fldCharType="separate"/>
    </w:r>
    <w:r>
      <w:rPr>
        <w:b w:val="0"/>
        <w:bCs/>
        <w:lang w:val="en-US"/>
      </w:rPr>
      <w:instrText>Error! Unknown document property name.</w:instrText>
    </w:r>
    <w:r>
      <w:fldChar w:fldCharType="end"/>
    </w:r>
    <w:r>
      <w:fldChar w:fldCharType="separate"/>
    </w:r>
    <w:r>
      <w:rPr>
        <w:b w:val="0"/>
        <w:bCs/>
        <w:lang w:val="en-US"/>
      </w:rPr>
      <w:t>Error! Unknown document property name.</w:t>
    </w:r>
    <w:r>
      <w:fldChar w:fldCharType="end"/>
    </w:r>
  </w:p>
  <w:p w14:paraId="06E42CE5" w14:textId="77777777" w:rsidR="008B0B95" w:rsidRPr="005F6086" w:rsidRDefault="008B0B95">
    <w:pPr>
      <w:rPr>
        <w:lang w:val="da-DK"/>
      </w:rPr>
    </w:pPr>
  </w:p>
  <w:p w14:paraId="7A9AEF95" w14:textId="77777777" w:rsidR="008B0B95" w:rsidRPr="005F6086" w:rsidRDefault="008B0B95">
    <w:pPr>
      <w:rPr>
        <w:lang w:val="da-DK"/>
      </w:rPr>
    </w:pPr>
  </w:p>
  <w:p w14:paraId="24E60F48" w14:textId="77777777" w:rsidR="008B0B95" w:rsidRPr="005F6086" w:rsidRDefault="008B0B95">
    <w:pPr>
      <w:rPr>
        <w:lang w:val="da-DK"/>
      </w:rPr>
    </w:pPr>
  </w:p>
  <w:p w14:paraId="77F65484" w14:textId="77777777" w:rsidR="008B0B95" w:rsidRPr="00360ACA" w:rsidRDefault="008B0B95">
    <w:pPr>
      <w:rPr>
        <w:lang w:val="da-DK"/>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B92873" w14:textId="1C35091A" w:rsidR="008B0B95" w:rsidRDefault="008B0B95" w:rsidP="008871B3">
    <w:pPr>
      <w:pStyle w:val="Sidefod"/>
      <w:jc w:val="right"/>
    </w:pPr>
    <w:r>
      <w:t xml:space="preserve">Page </w:t>
    </w:r>
    <w:r>
      <w:fldChar w:fldCharType="begin"/>
    </w:r>
    <w:r>
      <w:instrText xml:space="preserve"> PAGE   \* MERGEFORMAT </w:instrText>
    </w:r>
    <w:r>
      <w:fldChar w:fldCharType="separate"/>
    </w:r>
    <w:r w:rsidR="008E1C66">
      <w:rPr>
        <w:noProof/>
      </w:rPr>
      <w:t>21</w:t>
    </w:r>
    <w:r>
      <w:fldChar w:fldCharType="end"/>
    </w:r>
    <w:r>
      <w:t xml:space="preserve"> of </w:t>
    </w:r>
    <w:r>
      <w:rPr>
        <w:noProof/>
      </w:rPr>
      <w:fldChar w:fldCharType="begin"/>
    </w:r>
    <w:r>
      <w:rPr>
        <w:noProof/>
      </w:rPr>
      <w:instrText xml:space="preserve"> NUMPAGES   \* MERGEFORMAT </w:instrText>
    </w:r>
    <w:r>
      <w:rPr>
        <w:noProof/>
      </w:rPr>
      <w:fldChar w:fldCharType="separate"/>
    </w:r>
    <w:r w:rsidR="008E1C66">
      <w:rPr>
        <w:noProof/>
      </w:rPr>
      <w:t>51</w:t>
    </w:r>
    <w:r>
      <w:rPr>
        <w:noProof/>
      </w:rPr>
      <w:fldChar w:fldCharType="end"/>
    </w:r>
    <w:r>
      <w:ptab w:relativeTo="margin" w:alignment="center" w:leader="none"/>
    </w:r>
    <w:r>
      <w:t>Revision no 5</w:t>
    </w:r>
    <w:r>
      <w:ptab w:relativeTo="margin" w:alignment="right" w:leader="none"/>
    </w:r>
    <w:r>
      <w:t>Last saved 01/07/2019</w:t>
    </w:r>
  </w:p>
  <w:p w14:paraId="11D75D71" w14:textId="77777777" w:rsidR="008B0B95" w:rsidRDefault="008B0B9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8D85A70" w14:textId="77777777" w:rsidR="008B0B95" w:rsidRDefault="008B0B95" w:rsidP="00823DDB">
      <w:pPr>
        <w:pStyle w:val="xkaSkjemaTittel"/>
      </w:pPr>
      <w:r>
        <w:separator/>
      </w:r>
    </w:p>
  </w:footnote>
  <w:footnote w:type="continuationSeparator" w:id="0">
    <w:p w14:paraId="1F3B7A08" w14:textId="77777777" w:rsidR="008B0B95" w:rsidRDefault="008B0B95" w:rsidP="00823DDB">
      <w:pPr>
        <w:pStyle w:val="xkaSkjemaTittel"/>
      </w:pPr>
      <w:r>
        <w:continuationSeparator/>
      </w:r>
    </w:p>
  </w:footnote>
  <w:footnote w:type="continuationNotice" w:id="1">
    <w:p w14:paraId="7594E7D0" w14:textId="77777777" w:rsidR="008B0B95" w:rsidRDefault="008B0B95"/>
  </w:footnote>
  <w:footnote w:id="2">
    <w:p w14:paraId="5216FAD0" w14:textId="77777777" w:rsidR="008B0B95" w:rsidRDefault="008B0B95" w:rsidP="00945FC2">
      <w:pPr>
        <w:pStyle w:val="Fodnotetekst"/>
      </w:pPr>
      <w:r>
        <w:rPr>
          <w:rStyle w:val="Fodnotehenvisning"/>
        </w:rPr>
        <w:footnoteRef/>
      </w:r>
      <w:r>
        <w:t xml:space="preserve"> Principal Aquifer – “</w:t>
      </w:r>
      <w:r w:rsidRPr="00D25FB8">
        <w:t>These are layers of rock or drift deposits that have high intergranular and/or fracture permeability - meaning they usually provide a high level of water storage. They may support water supply and/or river base flow on a strategic scale.  In most cases, principal aquifers are aquifers previously designated as major aquifer.</w:t>
      </w:r>
      <w:r>
        <w:t>” – (Environment Agency, 2017)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8505" w:type="dxa"/>
      <w:tblLayout w:type="fixed"/>
      <w:tblLook w:val="0000" w:firstRow="0" w:lastRow="0" w:firstColumn="0" w:lastColumn="0" w:noHBand="0" w:noVBand="0"/>
    </w:tblPr>
    <w:tblGrid>
      <w:gridCol w:w="1985"/>
      <w:gridCol w:w="3583"/>
      <w:gridCol w:w="2937"/>
    </w:tblGrid>
    <w:tr w:rsidR="008B0B95" w14:paraId="13B9FAFC" w14:textId="77777777" w:rsidTr="00F41176">
      <w:trPr>
        <w:trHeight w:val="997"/>
      </w:trPr>
      <w:tc>
        <w:tcPr>
          <w:tcW w:w="1985" w:type="dxa"/>
          <w:tcBorders>
            <w:bottom w:val="single" w:sz="4" w:space="0" w:color="76923C" w:themeColor="accent3" w:themeShade="BF"/>
          </w:tcBorders>
          <w:vAlign w:val="bottom"/>
        </w:tcPr>
        <w:p w14:paraId="454562E0" w14:textId="77777777" w:rsidR="008B0B95" w:rsidRDefault="008B0B95" w:rsidP="000A133D">
          <w:pPr>
            <w:pStyle w:val="Sidehoved"/>
            <w:ind w:left="-105"/>
            <w:rPr>
              <w:noProof/>
            </w:rPr>
          </w:pPr>
          <w:r>
            <w:rPr>
              <w:noProof/>
              <w:lang w:eastAsia="en-GB"/>
            </w:rPr>
            <w:drawing>
              <wp:inline distT="0" distB="0" distL="0" distR="0" wp14:anchorId="2121746A" wp14:editId="1B7BCD8B">
                <wp:extent cx="722003" cy="606056"/>
                <wp:effectExtent l="0" t="0" r="1905" b="0"/>
                <wp:docPr id="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EU.jpg"/>
                        <pic:cNvPicPr/>
                      </pic:nvPicPr>
                      <pic:blipFill rotWithShape="1">
                        <a:blip r:embed="rId1">
                          <a:extLst>
                            <a:ext uri="{28A0092B-C50C-407E-A947-70E740481C1C}">
                              <a14:useLocalDpi xmlns:a14="http://schemas.microsoft.com/office/drawing/2010/main" val="0"/>
                            </a:ext>
                          </a:extLst>
                        </a:blip>
                        <a:srcRect b="-23913"/>
                        <a:stretch/>
                      </pic:blipFill>
                      <pic:spPr bwMode="auto">
                        <a:xfrm>
                          <a:off x="0" y="0"/>
                          <a:ext cx="725423" cy="608927"/>
                        </a:xfrm>
                        <a:prstGeom prst="rect">
                          <a:avLst/>
                        </a:prstGeom>
                        <a:ln>
                          <a:noFill/>
                        </a:ln>
                        <a:extLst>
                          <a:ext uri="{53640926-AAD7-44D8-BBD7-CCE9431645EC}">
                            <a14:shadowObscured xmlns:a14="http://schemas.microsoft.com/office/drawing/2010/main"/>
                          </a:ext>
                        </a:extLst>
                      </pic:spPr>
                    </pic:pic>
                  </a:graphicData>
                </a:graphic>
              </wp:inline>
            </w:drawing>
          </w:r>
        </w:p>
      </w:tc>
      <w:tc>
        <w:tcPr>
          <w:tcW w:w="3583" w:type="dxa"/>
          <w:tcBorders>
            <w:bottom w:val="single" w:sz="4" w:space="0" w:color="76923C" w:themeColor="accent3" w:themeShade="BF"/>
          </w:tcBorders>
          <w:vAlign w:val="center"/>
        </w:tcPr>
        <w:p w14:paraId="11EEF27C" w14:textId="77777777" w:rsidR="008B0B95" w:rsidRDefault="008B0B95" w:rsidP="000A133D">
          <w:pPr>
            <w:pStyle w:val="xkaSkjemaTekst"/>
            <w:jc w:val="center"/>
          </w:pPr>
          <w:r>
            <w:t xml:space="preserve">      </w:t>
          </w:r>
        </w:p>
      </w:tc>
      <w:tc>
        <w:tcPr>
          <w:tcW w:w="2937" w:type="dxa"/>
          <w:tcBorders>
            <w:bottom w:val="single" w:sz="4" w:space="0" w:color="76923C" w:themeColor="accent3" w:themeShade="BF"/>
          </w:tcBorders>
          <w:vAlign w:val="center"/>
        </w:tcPr>
        <w:p w14:paraId="16D940FD" w14:textId="77777777" w:rsidR="008B0B95" w:rsidRDefault="008B0B95" w:rsidP="004B3C9D">
          <w:pPr>
            <w:pStyle w:val="xkaSkjemaTekst"/>
            <w:tabs>
              <w:tab w:val="left" w:pos="2694"/>
            </w:tabs>
            <w:spacing w:before="120"/>
          </w:pPr>
          <w:r w:rsidRPr="00430DF1">
            <w:rPr>
              <w:lang w:eastAsia="en-GB"/>
            </w:rPr>
            <w:drawing>
              <wp:inline distT="0" distB="0" distL="0" distR="0" wp14:anchorId="77890876" wp14:editId="5F169532">
                <wp:extent cx="1276350" cy="57599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eoERA_with text.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75339" cy="575534"/>
                        </a:xfrm>
                        <a:prstGeom prst="rect">
                          <a:avLst/>
                        </a:prstGeom>
                      </pic:spPr>
                    </pic:pic>
                  </a:graphicData>
                </a:graphic>
              </wp:inline>
            </w:drawing>
          </w:r>
        </w:p>
        <w:p w14:paraId="279ED765" w14:textId="77777777" w:rsidR="008B0B95" w:rsidRPr="00693EF9" w:rsidRDefault="008B0B95" w:rsidP="000A133D">
          <w:pPr>
            <w:pStyle w:val="xkaSkjemaTekst"/>
            <w:jc w:val="right"/>
            <w:rPr>
              <w:sz w:val="16"/>
              <w:szCs w:val="16"/>
            </w:rPr>
          </w:pPr>
        </w:p>
      </w:tc>
    </w:tr>
  </w:tbl>
  <w:p w14:paraId="60DE5F59" w14:textId="77777777" w:rsidR="008B0B95" w:rsidRPr="009773C7" w:rsidRDefault="008B0B95" w:rsidP="00B25CFB">
    <w:pPr>
      <w:pStyle w:val="Sidehoved"/>
      <w:tabs>
        <w:tab w:val="left" w:pos="452"/>
      </w:tabs>
      <w:rPr>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B69400" w14:textId="77777777" w:rsidR="008B0B95" w:rsidRDefault="008B0B95" w:rsidP="004E14E1">
    <w:pPr>
      <w:jc w:val="left"/>
      <w:rPr>
        <w:rFonts w:ascii="Arial" w:hAnsi="Arial" w:cs="Arial"/>
        <w:b/>
        <w:color w:val="A6A6A6" w:themeColor="background1" w:themeShade="A6"/>
        <w:sz w:val="18"/>
        <w:szCs w:val="24"/>
      </w:rPr>
    </w:pPr>
    <w:r w:rsidRPr="00430DF1">
      <w:rPr>
        <w:noProof/>
        <w:lang w:eastAsia="en-GB"/>
      </w:rPr>
      <w:drawing>
        <wp:anchor distT="0" distB="0" distL="114300" distR="114300" simplePos="0" relativeHeight="251658242" behindDoc="0" locked="0" layoutInCell="1" allowOverlap="1" wp14:anchorId="00668299" wp14:editId="77ACDC7A">
          <wp:simplePos x="0" y="0"/>
          <wp:positionH relativeFrom="column">
            <wp:posOffset>5219672</wp:posOffset>
          </wp:positionH>
          <wp:positionV relativeFrom="paragraph">
            <wp:posOffset>-23301</wp:posOffset>
          </wp:positionV>
          <wp:extent cx="887985" cy="400729"/>
          <wp:effectExtent l="0" t="0" r="7620" b="0"/>
          <wp:wrapSquare wrapText="bothSides"/>
          <wp:docPr id="11"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eoERA_with text.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87985" cy="400729"/>
                  </a:xfrm>
                  <a:prstGeom prst="rect">
                    <a:avLst/>
                  </a:prstGeom>
                </pic:spPr>
              </pic:pic>
            </a:graphicData>
          </a:graphic>
        </wp:anchor>
      </w:drawing>
    </w:r>
    <w:r w:rsidRPr="004E14E1">
      <w:rPr>
        <w:rFonts w:ascii="Arial" w:hAnsi="Arial" w:cs="Arial"/>
        <w:b/>
        <w:color w:val="A6A6A6" w:themeColor="background1" w:themeShade="A6"/>
        <w:sz w:val="18"/>
        <w:szCs w:val="24"/>
      </w:rPr>
      <w:t xml:space="preserve">Establishing the European Geological Surveys Research Area </w:t>
    </w:r>
  </w:p>
  <w:p w14:paraId="3258B525" w14:textId="77777777" w:rsidR="008B0B95" w:rsidRPr="004E14E1" w:rsidRDefault="008B0B95" w:rsidP="004E14E1">
    <w:pPr>
      <w:jc w:val="left"/>
      <w:rPr>
        <w:rFonts w:ascii="Arial" w:hAnsi="Arial" w:cs="Arial"/>
        <w:b/>
        <w:sz w:val="18"/>
        <w:szCs w:val="24"/>
      </w:rPr>
    </w:pPr>
    <w:r w:rsidRPr="004E14E1">
      <w:rPr>
        <w:rFonts w:ascii="Arial" w:hAnsi="Arial" w:cs="Arial"/>
        <w:b/>
        <w:color w:val="A6A6A6" w:themeColor="background1" w:themeShade="A6"/>
        <w:sz w:val="18"/>
        <w:szCs w:val="24"/>
      </w:rPr>
      <w:t>to deliver a Geological Service for Europe</w:t>
    </w:r>
  </w:p>
  <w:p w14:paraId="102A0AB6" w14:textId="77777777" w:rsidR="008B0B95" w:rsidRDefault="008B0B95" w:rsidP="004E14E1">
    <w:pPr>
      <w:pStyle w:val="Sidehoved"/>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6E1818" w14:textId="77777777" w:rsidR="008B0B95" w:rsidRDefault="008B0B95">
    <w:pPr>
      <w:pStyle w:val="Body"/>
      <w:rPr>
        <w:caps/>
        <w:sz w:val="17"/>
      </w:rPr>
    </w:pPr>
    <w:r>
      <w:rPr>
        <w:noProof/>
        <w:lang w:eastAsia="en-GB"/>
      </w:rPr>
      <mc:AlternateContent>
        <mc:Choice Requires="wps">
          <w:drawing>
            <wp:anchor distT="0" distB="0" distL="114300" distR="114300" simplePos="0" relativeHeight="251658240" behindDoc="0" locked="0" layoutInCell="0" allowOverlap="1" wp14:anchorId="3D933DAA" wp14:editId="54B18909">
              <wp:simplePos x="0" y="0"/>
              <wp:positionH relativeFrom="page">
                <wp:posOffset>1511935</wp:posOffset>
              </wp:positionH>
              <wp:positionV relativeFrom="page">
                <wp:posOffset>323850</wp:posOffset>
              </wp:positionV>
              <wp:extent cx="5292090" cy="442595"/>
              <wp:effectExtent l="0" t="0" r="0" b="0"/>
              <wp:wrapNone/>
              <wp:docPr id="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2090" cy="442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31"/>
                            <w:gridCol w:w="6804"/>
                          </w:tblGrid>
                          <w:tr w:rsidR="008B0B95" w14:paraId="187A0D1F" w14:textId="77777777">
                            <w:trPr>
                              <w:trHeight w:hRule="exact" w:val="578"/>
                            </w:trPr>
                            <w:tc>
                              <w:tcPr>
                                <w:tcW w:w="1531" w:type="dxa"/>
                                <w:tcBorders>
                                  <w:top w:val="nil"/>
                                  <w:left w:val="nil"/>
                                  <w:bottom w:val="nil"/>
                                  <w:right w:val="nil"/>
                                </w:tcBorders>
                              </w:tcPr>
                              <w:p w14:paraId="28933440" w14:textId="19AB60FE" w:rsidR="008B0B95" w:rsidRPr="005F6086" w:rsidRDefault="008B0B95">
                                <w:pPr>
                                  <w:rPr>
                                    <w:sz w:val="17"/>
                                    <w:lang w:val="da-DK"/>
                                  </w:rPr>
                                </w:pPr>
                                <w:r>
                                  <w:rPr>
                                    <w:b/>
                                    <w:sz w:val="17"/>
                                  </w:rPr>
                                  <w:fldChar w:fldCharType="begin"/>
                                </w:r>
                                <w:r w:rsidRPr="005F6086">
                                  <w:rPr>
                                    <w:b/>
                                    <w:sz w:val="17"/>
                                    <w:lang w:val="da-DK"/>
                                  </w:rPr>
                                  <w:instrText xml:space="preserve"> PAGE  \* CHARFORMAT </w:instrText>
                                </w:r>
                                <w:r>
                                  <w:rPr>
                                    <w:b/>
                                    <w:sz w:val="17"/>
                                  </w:rPr>
                                  <w:fldChar w:fldCharType="separate"/>
                                </w:r>
                                <w:r w:rsidRPr="005F6086">
                                  <w:rPr>
                                    <w:b/>
                                    <w:noProof/>
                                    <w:sz w:val="17"/>
                                    <w:lang w:val="da-DK"/>
                                  </w:rPr>
                                  <w:t>2</w:t>
                                </w:r>
                                <w:r>
                                  <w:rPr>
                                    <w:b/>
                                    <w:sz w:val="17"/>
                                  </w:rPr>
                                  <w:fldChar w:fldCharType="end"/>
                                </w:r>
                                <w:r w:rsidRPr="005F6086">
                                  <w:rPr>
                                    <w:b/>
                                    <w:sz w:val="17"/>
                                    <w:lang w:val="da-DK"/>
                                  </w:rPr>
                                  <w:t xml:space="preserve"> / </w:t>
                                </w:r>
                                <w:r>
                                  <w:rPr>
                                    <w:b/>
                                    <w:sz w:val="17"/>
                                  </w:rPr>
                                  <w:fldChar w:fldCharType="begin"/>
                                </w:r>
                                <w:r w:rsidRPr="005F6086">
                                  <w:rPr>
                                    <w:b/>
                                    <w:sz w:val="17"/>
                                    <w:lang w:val="da-DK"/>
                                  </w:rPr>
                                  <w:instrText xml:space="preserve"> IF </w:instrText>
                                </w:r>
                                <w:r>
                                  <w:rPr>
                                    <w:b/>
                                    <w:sz w:val="17"/>
                                  </w:rPr>
                                  <w:fldChar w:fldCharType="begin"/>
                                </w:r>
                                <w:r w:rsidRPr="005F6086">
                                  <w:rPr>
                                    <w:b/>
                                    <w:sz w:val="17"/>
                                    <w:lang w:val="da-DK"/>
                                  </w:rPr>
                                  <w:instrText xml:space="preserve"> DOCPROPERTY "AppendixPageNum"</w:instrText>
                                </w:r>
                                <w:r>
                                  <w:rPr>
                                    <w:b/>
                                    <w:sz w:val="17"/>
                                  </w:rPr>
                                  <w:fldChar w:fldCharType="separate"/>
                                </w:r>
                                <w:r>
                                  <w:rPr>
                                    <w:bCs/>
                                    <w:sz w:val="17"/>
                                  </w:rPr>
                                  <w:instrText>Error! Unknown document property name.</w:instrText>
                                </w:r>
                                <w:r>
                                  <w:rPr>
                                    <w:b/>
                                    <w:sz w:val="17"/>
                                  </w:rPr>
                                  <w:fldChar w:fldCharType="end"/>
                                </w:r>
                                <w:r w:rsidRPr="005F6086">
                                  <w:rPr>
                                    <w:b/>
                                    <w:sz w:val="17"/>
                                    <w:lang w:val="da-DK"/>
                                  </w:rPr>
                                  <w:instrText xml:space="preserve"> = 0 </w:instrText>
                                </w:r>
                                <w:r>
                                  <w:rPr>
                                    <w:b/>
                                    <w:sz w:val="17"/>
                                  </w:rPr>
                                  <w:fldChar w:fldCharType="begin"/>
                                </w:r>
                                <w:r w:rsidRPr="005F6086">
                                  <w:rPr>
                                    <w:b/>
                                    <w:sz w:val="17"/>
                                    <w:lang w:val="da-DK"/>
                                  </w:rPr>
                                  <w:instrText xml:space="preserve"> NUMPAGES</w:instrText>
                                </w:r>
                                <w:r>
                                  <w:rPr>
                                    <w:b/>
                                    <w:sz w:val="17"/>
                                  </w:rPr>
                                  <w:fldChar w:fldCharType="separate"/>
                                </w:r>
                                <w:r w:rsidRPr="005F6086">
                                  <w:rPr>
                                    <w:b/>
                                    <w:noProof/>
                                    <w:sz w:val="17"/>
                                    <w:lang w:val="da-DK"/>
                                  </w:rPr>
                                  <w:instrText>68</w:instrText>
                                </w:r>
                                <w:r>
                                  <w:rPr>
                                    <w:b/>
                                    <w:sz w:val="17"/>
                                  </w:rPr>
                                  <w:fldChar w:fldCharType="end"/>
                                </w:r>
                                <w:r w:rsidRPr="005F6086">
                                  <w:rPr>
                                    <w:b/>
                                    <w:sz w:val="17"/>
                                    <w:lang w:val="da-DK"/>
                                  </w:rPr>
                                  <w:instrText xml:space="preserve"> </w:instrText>
                                </w:r>
                                <w:r>
                                  <w:rPr>
                                    <w:b/>
                                    <w:sz w:val="17"/>
                                  </w:rPr>
                                  <w:fldChar w:fldCharType="begin"/>
                                </w:r>
                                <w:r w:rsidRPr="005F6086">
                                  <w:rPr>
                                    <w:b/>
                                    <w:sz w:val="17"/>
                                    <w:lang w:val="da-DK"/>
                                  </w:rPr>
                                  <w:instrText xml:space="preserve"> DOCPROPERTY "AppendixPageNum"</w:instrText>
                                </w:r>
                                <w:r>
                                  <w:rPr>
                                    <w:b/>
                                    <w:sz w:val="17"/>
                                  </w:rPr>
                                  <w:fldChar w:fldCharType="separate"/>
                                </w:r>
                                <w:r>
                                  <w:rPr>
                                    <w:bCs/>
                                    <w:sz w:val="17"/>
                                  </w:rPr>
                                  <w:instrText>Error! Unknown document property name.</w:instrText>
                                </w:r>
                                <w:r>
                                  <w:rPr>
                                    <w:b/>
                                    <w:sz w:val="17"/>
                                  </w:rPr>
                                  <w:fldChar w:fldCharType="end"/>
                                </w:r>
                                <w:r w:rsidRPr="005F6086">
                                  <w:rPr>
                                    <w:b/>
                                    <w:sz w:val="17"/>
                                    <w:lang w:val="da-DK"/>
                                  </w:rPr>
                                  <w:instrText xml:space="preserve">\* MERGEFORMAT </w:instrText>
                                </w:r>
                                <w:r>
                                  <w:rPr>
                                    <w:b/>
                                    <w:sz w:val="17"/>
                                  </w:rPr>
                                  <w:fldChar w:fldCharType="separate"/>
                                </w:r>
                                <w:r w:rsidRPr="00E330F9">
                                  <w:rPr>
                                    <w:b/>
                                    <w:noProof/>
                                    <w:sz w:val="17"/>
                                    <w:lang w:val="da-DK"/>
                                  </w:rPr>
                                  <w:t>Error!</w:t>
                                </w:r>
                                <w:r w:rsidRPr="00E330F9">
                                  <w:rPr>
                                    <w:bCs/>
                                    <w:noProof/>
                                    <w:sz w:val="17"/>
                                    <w:lang w:val="da-DK"/>
                                  </w:rPr>
                                  <w:t xml:space="preserve"> Unknown document property name.</w:t>
                                </w:r>
                                <w:r>
                                  <w:rPr>
                                    <w:b/>
                                    <w:sz w:val="17"/>
                                  </w:rPr>
                                  <w:fldChar w:fldCharType="end"/>
                                </w:r>
                                <w:r w:rsidRPr="005F6086">
                                  <w:rPr>
                                    <w:sz w:val="17"/>
                                    <w:lang w:val="da-DK"/>
                                  </w:rPr>
                                  <w:t xml:space="preserve"> </w:t>
                                </w:r>
                              </w:p>
                            </w:tc>
                            <w:tc>
                              <w:tcPr>
                                <w:tcW w:w="6804" w:type="dxa"/>
                                <w:tcBorders>
                                  <w:top w:val="nil"/>
                                  <w:left w:val="nil"/>
                                  <w:bottom w:val="nil"/>
                                  <w:right w:val="nil"/>
                                </w:tcBorders>
                              </w:tcPr>
                              <w:p w14:paraId="32483DDD" w14:textId="0BBA082A" w:rsidR="008B0B95" w:rsidRDefault="008B0B95">
                                <w:pPr>
                                  <w:tabs>
                                    <w:tab w:val="right" w:pos="964"/>
                                  </w:tabs>
                                  <w:jc w:val="right"/>
                                </w:pPr>
                                <w:r>
                                  <w:rPr>
                                    <w:rFonts w:ascii="Arial" w:hAnsi="Arial"/>
                                    <w:b/>
                                    <w:caps/>
                                    <w:noProof/>
                                    <w:sz w:val="17"/>
                                  </w:rPr>
                                  <w:fldChar w:fldCharType="begin"/>
                                </w:r>
                                <w:r w:rsidRPr="005F6086">
                                  <w:rPr>
                                    <w:rFonts w:ascii="Arial" w:hAnsi="Arial"/>
                                    <w:b/>
                                    <w:caps/>
                                    <w:noProof/>
                                    <w:sz w:val="17"/>
                                    <w:lang w:val="da-DK"/>
                                  </w:rPr>
                                  <w:instrText xml:space="preserve"> IF </w:instrText>
                                </w:r>
                                <w:r>
                                  <w:rPr>
                                    <w:rFonts w:ascii="Arial" w:hAnsi="Arial"/>
                                    <w:b/>
                                    <w:caps/>
                                    <w:noProof/>
                                    <w:sz w:val="17"/>
                                  </w:rPr>
                                  <w:fldChar w:fldCharType="begin"/>
                                </w:r>
                                <w:r w:rsidRPr="005F6086">
                                  <w:rPr>
                                    <w:rFonts w:ascii="Arial" w:hAnsi="Arial"/>
                                    <w:b/>
                                    <w:caps/>
                                    <w:noProof/>
                                    <w:sz w:val="17"/>
                                    <w:lang w:val="da-DK"/>
                                  </w:rPr>
                                  <w:instrText xml:space="preserve"> DOCPROPERTY CBORAPPORTTEKST</w:instrText>
                                </w:r>
                                <w:r>
                                  <w:rPr>
                                    <w:rFonts w:ascii="Arial" w:hAnsi="Arial"/>
                                    <w:b/>
                                    <w:caps/>
                                    <w:noProof/>
                                    <w:sz w:val="17"/>
                                  </w:rPr>
                                  <w:fldChar w:fldCharType="separate"/>
                                </w:r>
                                <w:r>
                                  <w:rPr>
                                    <w:rFonts w:ascii="Arial" w:hAnsi="Arial"/>
                                    <w:bCs/>
                                    <w:caps/>
                                    <w:noProof/>
                                    <w:sz w:val="17"/>
                                  </w:rPr>
                                  <w:instrText>Error! Unknown document property name.</w:instrText>
                                </w:r>
                                <w:r>
                                  <w:rPr>
                                    <w:rFonts w:ascii="Arial" w:hAnsi="Arial"/>
                                    <w:b/>
                                    <w:caps/>
                                    <w:noProof/>
                                    <w:sz w:val="17"/>
                                  </w:rPr>
                                  <w:fldChar w:fldCharType="end"/>
                                </w:r>
                                <w:r w:rsidRPr="005F6086">
                                  <w:rPr>
                                    <w:rFonts w:ascii="Arial" w:hAnsi="Arial"/>
                                    <w:b/>
                                    <w:caps/>
                                    <w:noProof/>
                                    <w:sz w:val="17"/>
                                    <w:lang w:val="da-DK"/>
                                  </w:rPr>
                                  <w:instrText xml:space="preserve"> = " " "" </w:instrText>
                                </w:r>
                                <w:r>
                                  <w:rPr>
                                    <w:rFonts w:ascii="Arial" w:hAnsi="Arial"/>
                                    <w:b/>
                                    <w:caps/>
                                    <w:noProof/>
                                    <w:sz w:val="17"/>
                                  </w:rPr>
                                  <w:fldChar w:fldCharType="begin"/>
                                </w:r>
                                <w:r w:rsidRPr="005F6086">
                                  <w:rPr>
                                    <w:rFonts w:ascii="Arial" w:hAnsi="Arial"/>
                                    <w:b/>
                                    <w:caps/>
                                    <w:noProof/>
                                    <w:sz w:val="17"/>
                                    <w:lang w:val="da-DK"/>
                                  </w:rPr>
                                  <w:instrText xml:space="preserve">IF </w:instrText>
                                </w:r>
                                <w:r>
                                  <w:rPr>
                                    <w:rFonts w:ascii="Arial" w:hAnsi="Arial"/>
                                    <w:b/>
                                    <w:caps/>
                                    <w:noProof/>
                                    <w:sz w:val="17"/>
                                  </w:rPr>
                                  <w:fldChar w:fldCharType="begin"/>
                                </w:r>
                                <w:r w:rsidRPr="005F6086">
                                  <w:rPr>
                                    <w:rFonts w:ascii="Arial" w:hAnsi="Arial"/>
                                    <w:b/>
                                    <w:caps/>
                                    <w:noProof/>
                                    <w:sz w:val="17"/>
                                    <w:lang w:val="da-DK"/>
                                  </w:rPr>
                                  <w:instrText xml:space="preserve"> DOCPROPERTY " CBORAPPORTTEKST"</w:instrText>
                                </w:r>
                                <w:r>
                                  <w:rPr>
                                    <w:rFonts w:ascii="Arial" w:hAnsi="Arial"/>
                                    <w:b/>
                                    <w:caps/>
                                    <w:noProof/>
                                    <w:sz w:val="17"/>
                                  </w:rPr>
                                  <w:fldChar w:fldCharType="separate"/>
                                </w:r>
                                <w:r>
                                  <w:rPr>
                                    <w:rFonts w:ascii="Arial" w:hAnsi="Arial"/>
                                    <w:bCs/>
                                    <w:caps/>
                                    <w:noProof/>
                                    <w:sz w:val="17"/>
                                  </w:rPr>
                                  <w:instrText>Error! Unknown document property name.</w:instrText>
                                </w:r>
                                <w:r>
                                  <w:rPr>
                                    <w:rFonts w:ascii="Arial" w:hAnsi="Arial"/>
                                    <w:b/>
                                    <w:caps/>
                                    <w:noProof/>
                                    <w:sz w:val="17"/>
                                  </w:rPr>
                                  <w:fldChar w:fldCharType="end"/>
                                </w:r>
                                <w:r w:rsidRPr="005F6086">
                                  <w:rPr>
                                    <w:rFonts w:ascii="Arial" w:hAnsi="Arial"/>
                                    <w:b/>
                                    <w:caps/>
                                    <w:noProof/>
                                    <w:sz w:val="17"/>
                                    <w:lang w:val="da-DK"/>
                                  </w:rPr>
                                  <w:instrText xml:space="preserve"> ="" "" "</w:instrText>
                                </w:r>
                                <w:r>
                                  <w:rPr>
                                    <w:rFonts w:ascii="Arial" w:hAnsi="Arial"/>
                                    <w:b/>
                                    <w:caps/>
                                    <w:noProof/>
                                    <w:sz w:val="17"/>
                                  </w:rPr>
                                  <w:fldChar w:fldCharType="begin"/>
                                </w:r>
                                <w:r w:rsidRPr="005F6086">
                                  <w:rPr>
                                    <w:rFonts w:ascii="Arial" w:hAnsi="Arial"/>
                                    <w:b/>
                                    <w:caps/>
                                    <w:noProof/>
                                    <w:sz w:val="17"/>
                                    <w:lang w:val="da-DK"/>
                                  </w:rPr>
                                  <w:instrText xml:space="preserve"> DOCPROPERTY CBORAPPORTTEKST \* CHARFORMAT </w:instrText>
                                </w:r>
                                <w:r>
                                  <w:rPr>
                                    <w:rFonts w:ascii="Arial" w:hAnsi="Arial"/>
                                    <w:b/>
                                    <w:caps/>
                                    <w:noProof/>
                                    <w:sz w:val="17"/>
                                  </w:rPr>
                                  <w:fldChar w:fldCharType="separate"/>
                                </w:r>
                                <w:r>
                                  <w:rPr>
                                    <w:rFonts w:ascii="Arial" w:hAnsi="Arial"/>
                                    <w:bCs/>
                                    <w:caps/>
                                    <w:noProof/>
                                    <w:sz w:val="17"/>
                                  </w:rPr>
                                  <w:instrText>Error! Unknown document property name.</w:instrText>
                                </w:r>
                                <w:r>
                                  <w:rPr>
                                    <w:rFonts w:ascii="Arial" w:hAnsi="Arial"/>
                                    <w:b/>
                                    <w:caps/>
                                    <w:noProof/>
                                    <w:sz w:val="17"/>
                                  </w:rPr>
                                  <w:fldChar w:fldCharType="end"/>
                                </w:r>
                                <w:r w:rsidRPr="005F6086">
                                  <w:rPr>
                                    <w:rFonts w:ascii="Arial" w:hAnsi="Arial"/>
                                    <w:b/>
                                    <w:caps/>
                                    <w:noProof/>
                                    <w:sz w:val="17"/>
                                    <w:lang w:val="da-DK"/>
                                  </w:rPr>
                                  <w:instrText xml:space="preserve"> | "</w:instrText>
                                </w:r>
                                <w:r>
                                  <w:rPr>
                                    <w:rFonts w:ascii="Arial" w:hAnsi="Arial"/>
                                    <w:b/>
                                    <w:caps/>
                                    <w:noProof/>
                                    <w:sz w:val="17"/>
                                  </w:rPr>
                                  <w:fldChar w:fldCharType="separate"/>
                                </w:r>
                                <w:r>
                                  <w:rPr>
                                    <w:rFonts w:ascii="Arial" w:hAnsi="Arial"/>
                                    <w:bCs/>
                                    <w:caps/>
                                    <w:noProof/>
                                    <w:sz w:val="17"/>
                                  </w:rPr>
                                  <w:instrText>Error! Unknown document property name.</w:instrText>
                                </w:r>
                                <w:r w:rsidRPr="005F6086">
                                  <w:rPr>
                                    <w:rFonts w:ascii="Arial" w:hAnsi="Arial"/>
                                    <w:b/>
                                    <w:caps/>
                                    <w:noProof/>
                                    <w:sz w:val="17"/>
                                    <w:lang w:val="da-DK"/>
                                  </w:rPr>
                                  <w:instrText xml:space="preserve"> | </w:instrText>
                                </w:r>
                                <w:r>
                                  <w:rPr>
                                    <w:rFonts w:ascii="Arial" w:hAnsi="Arial"/>
                                    <w:b/>
                                    <w:caps/>
                                    <w:noProof/>
                                    <w:sz w:val="17"/>
                                  </w:rPr>
                                  <w:fldChar w:fldCharType="end"/>
                                </w:r>
                                <w:r>
                                  <w:rPr>
                                    <w:rFonts w:ascii="Arial" w:hAnsi="Arial"/>
                                    <w:b/>
                                    <w:caps/>
                                    <w:noProof/>
                                    <w:sz w:val="17"/>
                                  </w:rPr>
                                  <w:fldChar w:fldCharType="separate"/>
                                </w:r>
                                <w:r>
                                  <w:rPr>
                                    <w:rFonts w:ascii="Arial" w:hAnsi="Arial"/>
                                    <w:bCs/>
                                    <w:caps/>
                                    <w:noProof/>
                                    <w:sz w:val="17"/>
                                  </w:rPr>
                                  <w:t>Error! Unknown document property name.</w:t>
                                </w:r>
                                <w:r w:rsidRPr="005F6086">
                                  <w:rPr>
                                    <w:rFonts w:ascii="Arial" w:hAnsi="Arial"/>
                                    <w:b/>
                                    <w:caps/>
                                    <w:noProof/>
                                    <w:sz w:val="17"/>
                                    <w:lang w:val="da-DK"/>
                                  </w:rPr>
                                  <w:t xml:space="preserve"> | </w:t>
                                </w:r>
                                <w:r>
                                  <w:rPr>
                                    <w:rFonts w:ascii="Arial" w:hAnsi="Arial"/>
                                    <w:b/>
                                    <w:caps/>
                                    <w:noProof/>
                                    <w:sz w:val="17"/>
                                  </w:rPr>
                                  <w:fldChar w:fldCharType="end"/>
                                </w:r>
                                <w:r>
                                  <w:rPr>
                                    <w:sz w:val="17"/>
                                  </w:rPr>
                                  <w:fldChar w:fldCharType="begin"/>
                                </w:r>
                                <w:r w:rsidRPr="005F6086">
                                  <w:rPr>
                                    <w:sz w:val="17"/>
                                    <w:lang w:val="da-DK"/>
                                  </w:rPr>
                                  <w:instrText xml:space="preserve"> REF TNODocType \* MERGEFORMAT </w:instrText>
                                </w:r>
                                <w:r>
                                  <w:rPr>
                                    <w:sz w:val="17"/>
                                  </w:rPr>
                                  <w:fldChar w:fldCharType="separate"/>
                                </w:r>
                                <w:r>
                                  <w:rPr>
                                    <w:b/>
                                    <w:bCs/>
                                    <w:sz w:val="17"/>
                                  </w:rPr>
                                  <w:t>Error! Reference source not found.</w:t>
                                </w:r>
                                <w:r>
                                  <w:rPr>
                                    <w:sz w:val="17"/>
                                  </w:rPr>
                                  <w:fldChar w:fldCharType="end"/>
                                </w:r>
                                <w:r w:rsidRPr="005F6086">
                                  <w:rPr>
                                    <w:sz w:val="17"/>
                                    <w:lang w:val="da-DK"/>
                                  </w:rPr>
                                  <w:t xml:space="preserve"> | </w:t>
                                </w:r>
                                <w:r>
                                  <w:rPr>
                                    <w:sz w:val="17"/>
                                  </w:rPr>
                                  <w:fldChar w:fldCharType="begin"/>
                                </w:r>
                                <w:r w:rsidRPr="005F6086">
                                  <w:rPr>
                                    <w:sz w:val="17"/>
                                    <w:lang w:val="da-DK"/>
                                  </w:rPr>
                                  <w:instrText xml:space="preserve"> DOCPROPERTY Rapportnummer \* CHARFORMAT </w:instrText>
                                </w:r>
                                <w:r>
                                  <w:rPr>
                                    <w:sz w:val="17"/>
                                  </w:rPr>
                                  <w:fldChar w:fldCharType="separate"/>
                                </w:r>
                                <w:r>
                                  <w:rPr>
                                    <w:b/>
                                    <w:bCs/>
                                    <w:sz w:val="17"/>
                                  </w:rPr>
                                  <w:t>Error! Unknown document property name.</w:t>
                                </w:r>
                                <w:r>
                                  <w:rPr>
                                    <w:sz w:val="17"/>
                                  </w:rPr>
                                  <w:fldChar w:fldCharType="end"/>
                                </w:r>
                                <w:r>
                                  <w:rPr>
                                    <w:sz w:val="17"/>
                                  </w:rPr>
                                  <w:fldChar w:fldCharType="begin"/>
                                </w:r>
                                <w:r w:rsidRPr="005F6086">
                                  <w:rPr>
                                    <w:sz w:val="17"/>
                                    <w:lang w:val="da-DK"/>
                                  </w:rPr>
                                  <w:instrText xml:space="preserve">IF </w:instrText>
                                </w:r>
                                <w:r>
                                  <w:rPr>
                                    <w:sz w:val="17"/>
                                  </w:rPr>
                                  <w:fldChar w:fldCharType="begin"/>
                                </w:r>
                                <w:r w:rsidRPr="005F6086">
                                  <w:rPr>
                                    <w:sz w:val="17"/>
                                    <w:lang w:val="da-DK"/>
                                  </w:rPr>
                                  <w:instrText xml:space="preserve"> DOCPROPERTY"RPVersie"</w:instrText>
                                </w:r>
                                <w:r>
                                  <w:rPr>
                                    <w:sz w:val="17"/>
                                  </w:rPr>
                                  <w:fldChar w:fldCharType="separate"/>
                                </w:r>
                                <w:r>
                                  <w:rPr>
                                    <w:b/>
                                    <w:bCs/>
                                    <w:sz w:val="17"/>
                                  </w:rPr>
                                  <w:instrText>Error! Unknown document property name.</w:instrText>
                                </w:r>
                                <w:r>
                                  <w:rPr>
                                    <w:sz w:val="17"/>
                                  </w:rPr>
                                  <w:fldChar w:fldCharType="end"/>
                                </w:r>
                                <w:r w:rsidRPr="005F6086">
                                  <w:rPr>
                                    <w:sz w:val="17"/>
                                    <w:lang w:val="da-DK"/>
                                  </w:rPr>
                                  <w:instrText xml:space="preserve"> =" " "" </w:instrText>
                                </w:r>
                                <w:r>
                                  <w:rPr>
                                    <w:sz w:val="17"/>
                                  </w:rPr>
                                  <w:fldChar w:fldCharType="begin"/>
                                </w:r>
                                <w:r w:rsidRPr="005F6086">
                                  <w:rPr>
                                    <w:sz w:val="17"/>
                                    <w:lang w:val="da-DK"/>
                                  </w:rPr>
                                  <w:instrText xml:space="preserve">IF </w:instrText>
                                </w:r>
                                <w:r>
                                  <w:rPr>
                                    <w:sz w:val="17"/>
                                  </w:rPr>
                                  <w:fldChar w:fldCharType="begin"/>
                                </w:r>
                                <w:r w:rsidRPr="005F6086">
                                  <w:rPr>
                                    <w:sz w:val="17"/>
                                    <w:lang w:val="da-DK"/>
                                  </w:rPr>
                                  <w:instrText xml:space="preserve"> DOCPROPERTY"RPVersie"</w:instrText>
                                </w:r>
                                <w:r>
                                  <w:rPr>
                                    <w:sz w:val="17"/>
                                  </w:rPr>
                                  <w:fldChar w:fldCharType="separate"/>
                                </w:r>
                                <w:r>
                                  <w:rPr>
                                    <w:b/>
                                    <w:bCs/>
                                    <w:sz w:val="17"/>
                                  </w:rPr>
                                  <w:instrText>Error! Unknown document property name.</w:instrText>
                                </w:r>
                                <w:r>
                                  <w:rPr>
                                    <w:sz w:val="17"/>
                                  </w:rPr>
                                  <w:fldChar w:fldCharType="end"/>
                                </w:r>
                                <w:r w:rsidRPr="005F6086">
                                  <w:rPr>
                                    <w:sz w:val="17"/>
                                    <w:lang w:val="da-DK"/>
                                  </w:rPr>
                                  <w:instrText xml:space="preserve"> ="" "" " | </w:instrText>
                                </w:r>
                                <w:r>
                                  <w:rPr>
                                    <w:sz w:val="17"/>
                                  </w:rPr>
                                  <w:fldChar w:fldCharType="begin"/>
                                </w:r>
                                <w:r w:rsidRPr="005F6086">
                                  <w:rPr>
                                    <w:sz w:val="17"/>
                                    <w:lang w:val="da-DK"/>
                                  </w:rPr>
                                  <w:instrText xml:space="preserve"> DOCPROPERTY RPVersie \* CHARFORMAT </w:instrText>
                                </w:r>
                                <w:r>
                                  <w:rPr>
                                    <w:sz w:val="17"/>
                                  </w:rPr>
                                  <w:fldChar w:fldCharType="separate"/>
                                </w:r>
                                <w:r>
                                  <w:rPr>
                                    <w:b/>
                                    <w:bCs/>
                                    <w:sz w:val="17"/>
                                  </w:rPr>
                                  <w:instrText>Error! Unknown document property name.</w:instrText>
                                </w:r>
                                <w:r>
                                  <w:rPr>
                                    <w:sz w:val="17"/>
                                  </w:rPr>
                                  <w:fldChar w:fldCharType="end"/>
                                </w:r>
                                <w:r w:rsidRPr="005F6086">
                                  <w:rPr>
                                    <w:sz w:val="17"/>
                                    <w:lang w:val="da-DK"/>
                                  </w:rPr>
                                  <w:instrText>"</w:instrText>
                                </w:r>
                                <w:r>
                                  <w:rPr>
                                    <w:sz w:val="17"/>
                                  </w:rPr>
                                  <w:fldChar w:fldCharType="separate"/>
                                </w:r>
                                <w:r w:rsidRPr="005F6086">
                                  <w:rPr>
                                    <w:noProof/>
                                    <w:sz w:val="17"/>
                                    <w:lang w:val="da-DK"/>
                                  </w:rPr>
                                  <w:instrText xml:space="preserve"> | </w:instrText>
                                </w:r>
                                <w:r>
                                  <w:rPr>
                                    <w:b/>
                                    <w:bCs/>
                                    <w:noProof/>
                                    <w:sz w:val="17"/>
                                  </w:rPr>
                                  <w:instrText>Error! Unknown document property name.</w:instrText>
                                </w:r>
                                <w:r>
                                  <w:rPr>
                                    <w:sz w:val="17"/>
                                  </w:rPr>
                                  <w:fldChar w:fldCharType="end"/>
                                </w:r>
                                <w:r>
                                  <w:rPr>
                                    <w:sz w:val="17"/>
                                  </w:rPr>
                                  <w:fldChar w:fldCharType="separate"/>
                                </w:r>
                                <w:r w:rsidRPr="005F6086">
                                  <w:rPr>
                                    <w:noProof/>
                                    <w:sz w:val="17"/>
                                    <w:lang w:val="da-DK"/>
                                  </w:rPr>
                                  <w:t xml:space="preserve"> | </w:t>
                                </w:r>
                                <w:r>
                                  <w:rPr>
                                    <w:b/>
                                    <w:bCs/>
                                    <w:noProof/>
                                    <w:sz w:val="17"/>
                                  </w:rPr>
                                  <w:t>Error! Unknown document property name.</w:t>
                                </w:r>
                                <w:r>
                                  <w:rPr>
                                    <w:sz w:val="17"/>
                                  </w:rPr>
                                  <w:fldChar w:fldCharType="end"/>
                                </w:r>
                                <w:r>
                                  <w:rPr>
                                    <w:sz w:val="17"/>
                                  </w:rPr>
                                  <w:fldChar w:fldCharType="begin"/>
                                </w:r>
                                <w:r w:rsidRPr="005F6086">
                                  <w:rPr>
                                    <w:sz w:val="17"/>
                                    <w:lang w:val="da-DK"/>
                                  </w:rPr>
                                  <w:instrText xml:space="preserve">IF </w:instrText>
                                </w:r>
                                <w:r>
                                  <w:rPr>
                                    <w:sz w:val="17"/>
                                  </w:rPr>
                                  <w:fldChar w:fldCharType="begin"/>
                                </w:r>
                                <w:r w:rsidRPr="005F6086">
                                  <w:rPr>
                                    <w:sz w:val="17"/>
                                    <w:lang w:val="da-DK"/>
                                  </w:rPr>
                                  <w:instrText xml:space="preserve"> DOCPROPERTY"RPDatum"</w:instrText>
                                </w:r>
                                <w:r>
                                  <w:rPr>
                                    <w:sz w:val="17"/>
                                  </w:rPr>
                                  <w:fldChar w:fldCharType="separate"/>
                                </w:r>
                                <w:r>
                                  <w:rPr>
                                    <w:b/>
                                    <w:bCs/>
                                    <w:sz w:val="17"/>
                                  </w:rPr>
                                  <w:instrText>Error! Unknown document property name.</w:instrText>
                                </w:r>
                                <w:r>
                                  <w:rPr>
                                    <w:sz w:val="17"/>
                                  </w:rPr>
                                  <w:fldChar w:fldCharType="end"/>
                                </w:r>
                                <w:r w:rsidRPr="005F6086">
                                  <w:rPr>
                                    <w:sz w:val="17"/>
                                    <w:lang w:val="da-DK"/>
                                  </w:rPr>
                                  <w:instrText xml:space="preserve"> =" " "" </w:instrText>
                                </w:r>
                                <w:r>
                                  <w:rPr>
                                    <w:sz w:val="17"/>
                                  </w:rPr>
                                  <w:fldChar w:fldCharType="begin"/>
                                </w:r>
                                <w:r w:rsidRPr="005F6086">
                                  <w:rPr>
                                    <w:sz w:val="17"/>
                                    <w:lang w:val="da-DK"/>
                                  </w:rPr>
                                  <w:instrText xml:space="preserve">IF </w:instrText>
                                </w:r>
                                <w:r>
                                  <w:rPr>
                                    <w:sz w:val="17"/>
                                  </w:rPr>
                                  <w:fldChar w:fldCharType="begin"/>
                                </w:r>
                                <w:r w:rsidRPr="005F6086">
                                  <w:rPr>
                                    <w:sz w:val="17"/>
                                    <w:lang w:val="da-DK"/>
                                  </w:rPr>
                                  <w:instrText xml:space="preserve"> DOCPROPERTY" RPDatum"</w:instrText>
                                </w:r>
                                <w:r>
                                  <w:rPr>
                                    <w:sz w:val="17"/>
                                  </w:rPr>
                                  <w:fldChar w:fldCharType="separate"/>
                                </w:r>
                                <w:r>
                                  <w:rPr>
                                    <w:b/>
                                    <w:bCs/>
                                    <w:sz w:val="17"/>
                                  </w:rPr>
                                  <w:instrText>Error! Unknown document property name.</w:instrText>
                                </w:r>
                                <w:r>
                                  <w:rPr>
                                    <w:sz w:val="17"/>
                                  </w:rPr>
                                  <w:fldChar w:fldCharType="end"/>
                                </w:r>
                                <w:r w:rsidRPr="005F6086">
                                  <w:rPr>
                                    <w:sz w:val="17"/>
                                    <w:lang w:val="da-DK"/>
                                  </w:rPr>
                                  <w:instrText xml:space="preserve"> ="" "" " | </w:instrText>
                                </w:r>
                                <w:r>
                                  <w:rPr>
                                    <w:sz w:val="17"/>
                                  </w:rPr>
                                  <w:fldChar w:fldCharType="begin"/>
                                </w:r>
                                <w:r w:rsidRPr="005F6086">
                                  <w:rPr>
                                    <w:sz w:val="17"/>
                                    <w:lang w:val="da-DK"/>
                                  </w:rPr>
                                  <w:instrText xml:space="preserve"> DOCPROPERTY RPDatum \* CHARFORMAT </w:instrText>
                                </w:r>
                                <w:r>
                                  <w:rPr>
                                    <w:sz w:val="17"/>
                                  </w:rPr>
                                  <w:fldChar w:fldCharType="separate"/>
                                </w:r>
                                <w:r>
                                  <w:rPr>
                                    <w:b/>
                                    <w:bCs/>
                                    <w:sz w:val="17"/>
                                  </w:rPr>
                                  <w:instrText>Error! Unknown document property name.</w:instrText>
                                </w:r>
                                <w:r>
                                  <w:rPr>
                                    <w:sz w:val="17"/>
                                  </w:rPr>
                                  <w:fldChar w:fldCharType="end"/>
                                </w:r>
                                <w:r w:rsidRPr="005F6086">
                                  <w:rPr>
                                    <w:sz w:val="17"/>
                                    <w:lang w:val="da-DK"/>
                                  </w:rPr>
                                  <w:instrText>"</w:instrText>
                                </w:r>
                                <w:r>
                                  <w:rPr>
                                    <w:sz w:val="17"/>
                                  </w:rPr>
                                  <w:fldChar w:fldCharType="separate"/>
                                </w:r>
                                <w:r w:rsidRPr="005F6086">
                                  <w:rPr>
                                    <w:noProof/>
                                    <w:sz w:val="17"/>
                                    <w:lang w:val="da-DK"/>
                                  </w:rPr>
                                  <w:instrText xml:space="preserve"> | </w:instrText>
                                </w:r>
                                <w:r>
                                  <w:rPr>
                                    <w:b/>
                                    <w:bCs/>
                                    <w:noProof/>
                                    <w:sz w:val="17"/>
                                  </w:rPr>
                                  <w:instrText>Error! Unknown document property name.</w:instrText>
                                </w:r>
                                <w:r>
                                  <w:rPr>
                                    <w:sz w:val="17"/>
                                  </w:rPr>
                                  <w:fldChar w:fldCharType="end"/>
                                </w:r>
                                <w:r>
                                  <w:rPr>
                                    <w:sz w:val="17"/>
                                  </w:rPr>
                                  <w:fldChar w:fldCharType="separate"/>
                                </w:r>
                                <w:r w:rsidRPr="005F6086">
                                  <w:rPr>
                                    <w:noProof/>
                                    <w:sz w:val="17"/>
                                    <w:lang w:val="da-DK"/>
                                  </w:rPr>
                                  <w:t xml:space="preserve"> | </w:t>
                                </w:r>
                                <w:r>
                                  <w:rPr>
                                    <w:b/>
                                    <w:bCs/>
                                    <w:noProof/>
                                    <w:sz w:val="17"/>
                                  </w:rPr>
                                  <w:t>Error! Unknown document property name.</w:t>
                                </w:r>
                                <w:r>
                                  <w:rPr>
                                    <w:sz w:val="17"/>
                                  </w:rPr>
                                  <w:fldChar w:fldCharType="end"/>
                                </w:r>
                                <w:r>
                                  <w:rPr>
                                    <w:i/>
                                    <w:sz w:val="17"/>
                                  </w:rPr>
                                  <w:fldChar w:fldCharType="begin"/>
                                </w:r>
                                <w:r w:rsidRPr="005F6086">
                                  <w:rPr>
                                    <w:i/>
                                    <w:sz w:val="17"/>
                                    <w:lang w:val="da-DK"/>
                                  </w:rPr>
                                  <w:instrText xml:space="preserve">IF </w:instrText>
                                </w:r>
                                <w:r>
                                  <w:rPr>
                                    <w:i/>
                                    <w:sz w:val="17"/>
                                  </w:rPr>
                                  <w:fldChar w:fldCharType="begin"/>
                                </w:r>
                                <w:r w:rsidRPr="005F6086">
                                  <w:rPr>
                                    <w:i/>
                                    <w:sz w:val="17"/>
                                    <w:lang w:val="da-DK"/>
                                  </w:rPr>
                                  <w:instrText xml:space="preserve"> DOCPROPERTY"RPNaamOpdrachtgever"</w:instrText>
                                </w:r>
                                <w:r>
                                  <w:rPr>
                                    <w:i/>
                                    <w:sz w:val="17"/>
                                  </w:rPr>
                                  <w:fldChar w:fldCharType="separate"/>
                                </w:r>
                                <w:r>
                                  <w:rPr>
                                    <w:b/>
                                    <w:bCs/>
                                    <w:i/>
                                    <w:sz w:val="17"/>
                                  </w:rPr>
                                  <w:instrText>Error! Unknown document property name.</w:instrText>
                                </w:r>
                                <w:r>
                                  <w:rPr>
                                    <w:i/>
                                    <w:sz w:val="17"/>
                                  </w:rPr>
                                  <w:fldChar w:fldCharType="end"/>
                                </w:r>
                                <w:r w:rsidRPr="005F6086">
                                  <w:rPr>
                                    <w:i/>
                                    <w:sz w:val="17"/>
                                    <w:lang w:val="da-DK"/>
                                  </w:rPr>
                                  <w:instrText xml:space="preserve"> =" " "" </w:instrText>
                                </w:r>
                                <w:r>
                                  <w:rPr>
                                    <w:i/>
                                    <w:sz w:val="17"/>
                                  </w:rPr>
                                  <w:fldChar w:fldCharType="begin"/>
                                </w:r>
                                <w:r w:rsidRPr="005F6086">
                                  <w:rPr>
                                    <w:i/>
                                    <w:sz w:val="17"/>
                                    <w:lang w:val="da-DK"/>
                                  </w:rPr>
                                  <w:instrText xml:space="preserve">IF </w:instrText>
                                </w:r>
                                <w:r>
                                  <w:rPr>
                                    <w:i/>
                                    <w:sz w:val="17"/>
                                  </w:rPr>
                                  <w:fldChar w:fldCharType="begin"/>
                                </w:r>
                                <w:r w:rsidRPr="005F6086">
                                  <w:rPr>
                                    <w:i/>
                                    <w:sz w:val="17"/>
                                    <w:lang w:val="da-DK"/>
                                  </w:rPr>
                                  <w:instrText xml:space="preserve"> DOCPROPERTY"RPNaamOpdrachtgever"</w:instrText>
                                </w:r>
                                <w:r>
                                  <w:rPr>
                                    <w:i/>
                                    <w:sz w:val="17"/>
                                  </w:rPr>
                                  <w:fldChar w:fldCharType="separate"/>
                                </w:r>
                                <w:r>
                                  <w:rPr>
                                    <w:b/>
                                    <w:bCs/>
                                    <w:i/>
                                    <w:sz w:val="17"/>
                                  </w:rPr>
                                  <w:instrText>Error! Unknown document property name.</w:instrText>
                                </w:r>
                                <w:r>
                                  <w:rPr>
                                    <w:i/>
                                    <w:sz w:val="17"/>
                                  </w:rPr>
                                  <w:fldChar w:fldCharType="end"/>
                                </w:r>
                                <w:r w:rsidRPr="005F6086">
                                  <w:rPr>
                                    <w:i/>
                                    <w:sz w:val="17"/>
                                    <w:lang w:val="da-DK"/>
                                  </w:rPr>
                                  <w:instrText xml:space="preserve"> ="" "" " | </w:instrText>
                                </w:r>
                                <w:r>
                                  <w:rPr>
                                    <w:i/>
                                    <w:sz w:val="17"/>
                                  </w:rPr>
                                  <w:fldChar w:fldCharType="begin"/>
                                </w:r>
                                <w:r w:rsidRPr="005F6086">
                                  <w:rPr>
                                    <w:i/>
                                    <w:sz w:val="17"/>
                                    <w:lang w:val="da-DK"/>
                                  </w:rPr>
                                  <w:instrText xml:space="preserve"> DOCPROPERTY RPNaamOpdrachtgever \* CHARFORMAT </w:instrText>
                                </w:r>
                                <w:r>
                                  <w:rPr>
                                    <w:i/>
                                    <w:sz w:val="17"/>
                                  </w:rPr>
                                  <w:fldChar w:fldCharType="separate"/>
                                </w:r>
                                <w:r>
                                  <w:rPr>
                                    <w:b/>
                                    <w:bCs/>
                                    <w:i/>
                                    <w:sz w:val="17"/>
                                  </w:rPr>
                                  <w:instrText>Error! Unknown document property name.</w:instrText>
                                </w:r>
                                <w:r>
                                  <w:rPr>
                                    <w:i/>
                                    <w:sz w:val="17"/>
                                  </w:rPr>
                                  <w:fldChar w:fldCharType="end"/>
                                </w:r>
                                <w:r w:rsidRPr="005F6086">
                                  <w:rPr>
                                    <w:i/>
                                    <w:sz w:val="17"/>
                                    <w:lang w:val="da-DK"/>
                                  </w:rPr>
                                  <w:instrText>"</w:instrText>
                                </w:r>
                                <w:r>
                                  <w:rPr>
                                    <w:i/>
                                    <w:sz w:val="17"/>
                                  </w:rPr>
                                  <w:fldChar w:fldCharType="separate"/>
                                </w:r>
                                <w:r w:rsidRPr="005F6086">
                                  <w:rPr>
                                    <w:i/>
                                    <w:noProof/>
                                    <w:sz w:val="17"/>
                                    <w:lang w:val="da-DK"/>
                                  </w:rPr>
                                  <w:instrText xml:space="preserve"> | </w:instrText>
                                </w:r>
                                <w:r>
                                  <w:rPr>
                                    <w:b/>
                                    <w:bCs/>
                                    <w:i/>
                                    <w:noProof/>
                                    <w:sz w:val="17"/>
                                  </w:rPr>
                                  <w:instrText>Error! Unknown document property name.</w:instrText>
                                </w:r>
                                <w:r>
                                  <w:rPr>
                                    <w:i/>
                                    <w:sz w:val="17"/>
                                  </w:rPr>
                                  <w:fldChar w:fldCharType="end"/>
                                </w:r>
                                <w:r>
                                  <w:rPr>
                                    <w:i/>
                                    <w:sz w:val="17"/>
                                  </w:rPr>
                                  <w:fldChar w:fldCharType="separate"/>
                                </w:r>
                                <w:r w:rsidRPr="005F6086">
                                  <w:rPr>
                                    <w:i/>
                                    <w:noProof/>
                                    <w:sz w:val="17"/>
                                    <w:lang w:val="da-DK"/>
                                  </w:rPr>
                                  <w:t xml:space="preserve"> | </w:t>
                                </w:r>
                                <w:r>
                                  <w:rPr>
                                    <w:b/>
                                    <w:bCs/>
                                    <w:i/>
                                    <w:noProof/>
                                    <w:sz w:val="17"/>
                                  </w:rPr>
                                  <w:t>Error! Unknown document property name.</w:t>
                                </w:r>
                                <w:r>
                                  <w:rPr>
                                    <w:i/>
                                    <w:sz w:val="17"/>
                                  </w:rPr>
                                  <w:fldChar w:fldCharType="end"/>
                                </w:r>
                              </w:p>
                            </w:tc>
                          </w:tr>
                        </w:tbl>
                        <w:p w14:paraId="1D561CD4" w14:textId="77777777" w:rsidR="008B0B95" w:rsidRDefault="008B0B95">
                          <w:pPr>
                            <w:tabs>
                              <w:tab w:val="right" w:pos="8335"/>
                            </w:tab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933DAA" id="_x0000_t202" coordsize="21600,21600" o:spt="202" path="m,l,21600r21600,l21600,xe">
              <v:stroke joinstyle="miter"/>
              <v:path gradientshapeok="t" o:connecttype="rect"/>
            </v:shapetype>
            <v:shape id="Text Box 32" o:spid="_x0000_s1026" type="#_x0000_t202" style="position:absolute;left:0;text-align:left;margin-left:119.05pt;margin-top:25.5pt;width:416.7pt;height:34.8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" o:allowincell="f" filled="f" stroked="f">
              <v:textbox inset="0,0,0,0">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31"/>
                      <w:gridCol w:w="6804"/>
                    </w:tblGrid>
                    <w:tr w:rsidR="008B0B95" w14:paraId="187A0D1F" w14:textId="77777777">
                      <w:trPr>
                        <w:trHeight w:hRule="exact" w:val="578"/>
                      </w:trPr>
                      <w:tc>
                        <w:tcPr>
                          <w:tcW w:w="1531" w:type="dxa"/>
                          <w:tcBorders>
                            <w:top w:val="nil"/>
                            <w:left w:val="nil"/>
                            <w:bottom w:val="nil"/>
                            <w:right w:val="nil"/>
                          </w:tcBorders>
                        </w:tcPr>
                        <w:p w14:paraId="28933440" w14:textId="19AB60FE" w:rsidR="008B0B95" w:rsidRPr="005F6086" w:rsidRDefault="008B0B95">
                          <w:pPr>
                            <w:rPr>
                              <w:sz w:val="17"/>
                              <w:lang w:val="da-DK"/>
                            </w:rPr>
                          </w:pPr>
                          <w:r>
                            <w:rPr>
                              <w:b/>
                              <w:sz w:val="17"/>
                            </w:rPr>
                            <w:fldChar w:fldCharType="begin"/>
                          </w:r>
                          <w:r w:rsidRPr="005F6086">
                            <w:rPr>
                              <w:b/>
                              <w:sz w:val="17"/>
                              <w:lang w:val="da-DK"/>
                            </w:rPr>
                            <w:instrText xml:space="preserve"> PAGE  \* CHARFORMAT </w:instrText>
                          </w:r>
                          <w:r>
                            <w:rPr>
                              <w:b/>
                              <w:sz w:val="17"/>
                            </w:rPr>
                            <w:fldChar w:fldCharType="separate"/>
                          </w:r>
                          <w:r w:rsidRPr="005F6086">
                            <w:rPr>
                              <w:b/>
                              <w:noProof/>
                              <w:sz w:val="17"/>
                              <w:lang w:val="da-DK"/>
                            </w:rPr>
                            <w:t>2</w:t>
                          </w:r>
                          <w:r>
                            <w:rPr>
                              <w:b/>
                              <w:sz w:val="17"/>
                            </w:rPr>
                            <w:fldChar w:fldCharType="end"/>
                          </w:r>
                          <w:r w:rsidRPr="005F6086">
                            <w:rPr>
                              <w:b/>
                              <w:sz w:val="17"/>
                              <w:lang w:val="da-DK"/>
                            </w:rPr>
                            <w:t xml:space="preserve"> / </w:t>
                          </w:r>
                          <w:r>
                            <w:rPr>
                              <w:b/>
                              <w:sz w:val="17"/>
                            </w:rPr>
                            <w:fldChar w:fldCharType="begin"/>
                          </w:r>
                          <w:r w:rsidRPr="005F6086">
                            <w:rPr>
                              <w:b/>
                              <w:sz w:val="17"/>
                              <w:lang w:val="da-DK"/>
                            </w:rPr>
                            <w:instrText xml:space="preserve"> IF </w:instrText>
                          </w:r>
                          <w:r>
                            <w:rPr>
                              <w:b/>
                              <w:sz w:val="17"/>
                            </w:rPr>
                            <w:fldChar w:fldCharType="begin"/>
                          </w:r>
                          <w:r w:rsidRPr="005F6086">
                            <w:rPr>
                              <w:b/>
                              <w:sz w:val="17"/>
                              <w:lang w:val="da-DK"/>
                            </w:rPr>
                            <w:instrText xml:space="preserve"> DOCPROPERTY "AppendixPageNum"</w:instrText>
                          </w:r>
                          <w:r>
                            <w:rPr>
                              <w:b/>
                              <w:sz w:val="17"/>
                            </w:rPr>
                            <w:fldChar w:fldCharType="separate"/>
                          </w:r>
                          <w:r>
                            <w:rPr>
                              <w:bCs/>
                              <w:sz w:val="17"/>
                            </w:rPr>
                            <w:instrText>Error! Unknown document property name.</w:instrText>
                          </w:r>
                          <w:r>
                            <w:rPr>
                              <w:b/>
                              <w:sz w:val="17"/>
                            </w:rPr>
                            <w:fldChar w:fldCharType="end"/>
                          </w:r>
                          <w:r w:rsidRPr="005F6086">
                            <w:rPr>
                              <w:b/>
                              <w:sz w:val="17"/>
                              <w:lang w:val="da-DK"/>
                            </w:rPr>
                            <w:instrText xml:space="preserve"> = 0 </w:instrText>
                          </w:r>
                          <w:r>
                            <w:rPr>
                              <w:b/>
                              <w:sz w:val="17"/>
                            </w:rPr>
                            <w:fldChar w:fldCharType="begin"/>
                          </w:r>
                          <w:r w:rsidRPr="005F6086">
                            <w:rPr>
                              <w:b/>
                              <w:sz w:val="17"/>
                              <w:lang w:val="da-DK"/>
                            </w:rPr>
                            <w:instrText xml:space="preserve"> NUMPAGES</w:instrText>
                          </w:r>
                          <w:r>
                            <w:rPr>
                              <w:b/>
                              <w:sz w:val="17"/>
                            </w:rPr>
                            <w:fldChar w:fldCharType="separate"/>
                          </w:r>
                          <w:r w:rsidRPr="005F6086">
                            <w:rPr>
                              <w:b/>
                              <w:noProof/>
                              <w:sz w:val="17"/>
                              <w:lang w:val="da-DK"/>
                            </w:rPr>
                            <w:instrText>68</w:instrText>
                          </w:r>
                          <w:r>
                            <w:rPr>
                              <w:b/>
                              <w:sz w:val="17"/>
                            </w:rPr>
                            <w:fldChar w:fldCharType="end"/>
                          </w:r>
                          <w:r w:rsidRPr="005F6086">
                            <w:rPr>
                              <w:b/>
                              <w:sz w:val="17"/>
                              <w:lang w:val="da-DK"/>
                            </w:rPr>
                            <w:instrText xml:space="preserve"> </w:instrText>
                          </w:r>
                          <w:r>
                            <w:rPr>
                              <w:b/>
                              <w:sz w:val="17"/>
                            </w:rPr>
                            <w:fldChar w:fldCharType="begin"/>
                          </w:r>
                          <w:r w:rsidRPr="005F6086">
                            <w:rPr>
                              <w:b/>
                              <w:sz w:val="17"/>
                              <w:lang w:val="da-DK"/>
                            </w:rPr>
                            <w:instrText xml:space="preserve"> DOCPROPERTY "AppendixPageNum"</w:instrText>
                          </w:r>
                          <w:r>
                            <w:rPr>
                              <w:b/>
                              <w:sz w:val="17"/>
                            </w:rPr>
                            <w:fldChar w:fldCharType="separate"/>
                          </w:r>
                          <w:r>
                            <w:rPr>
                              <w:bCs/>
                              <w:sz w:val="17"/>
                            </w:rPr>
                            <w:instrText>Error! Unknown document property name.</w:instrText>
                          </w:r>
                          <w:r>
                            <w:rPr>
                              <w:b/>
                              <w:sz w:val="17"/>
                            </w:rPr>
                            <w:fldChar w:fldCharType="end"/>
                          </w:r>
                          <w:r w:rsidRPr="005F6086">
                            <w:rPr>
                              <w:b/>
                              <w:sz w:val="17"/>
                              <w:lang w:val="da-DK"/>
                            </w:rPr>
                            <w:instrText xml:space="preserve">\* MERGEFORMAT </w:instrText>
                          </w:r>
                          <w:r>
                            <w:rPr>
                              <w:b/>
                              <w:sz w:val="17"/>
                            </w:rPr>
                            <w:fldChar w:fldCharType="separate"/>
                          </w:r>
                          <w:r w:rsidRPr="00E330F9">
                            <w:rPr>
                              <w:b/>
                              <w:noProof/>
                              <w:sz w:val="17"/>
                              <w:lang w:val="da-DK"/>
                            </w:rPr>
                            <w:t>Error!</w:t>
                          </w:r>
                          <w:r w:rsidRPr="00E330F9">
                            <w:rPr>
                              <w:bCs/>
                              <w:noProof/>
                              <w:sz w:val="17"/>
                              <w:lang w:val="da-DK"/>
                            </w:rPr>
                            <w:t xml:space="preserve"> Unknown document property name.</w:t>
                          </w:r>
                          <w:r>
                            <w:rPr>
                              <w:b/>
                              <w:sz w:val="17"/>
                            </w:rPr>
                            <w:fldChar w:fldCharType="end"/>
                          </w:r>
                          <w:r w:rsidRPr="005F6086">
                            <w:rPr>
                              <w:sz w:val="17"/>
                              <w:lang w:val="da-DK"/>
                            </w:rPr>
                            <w:t xml:space="preserve"> </w:t>
                          </w:r>
                        </w:p>
                      </w:tc>
                      <w:tc>
                        <w:tcPr>
                          <w:tcW w:w="6804" w:type="dxa"/>
                          <w:tcBorders>
                            <w:top w:val="nil"/>
                            <w:left w:val="nil"/>
                            <w:bottom w:val="nil"/>
                            <w:right w:val="nil"/>
                          </w:tcBorders>
                        </w:tcPr>
                        <w:p w14:paraId="32483DDD" w14:textId="0BBA082A" w:rsidR="008B0B95" w:rsidRDefault="008B0B95">
                          <w:pPr>
                            <w:tabs>
                              <w:tab w:val="right" w:pos="964"/>
                            </w:tabs>
                            <w:jc w:val="right"/>
                          </w:pPr>
                          <w:r>
                            <w:rPr>
                              <w:rFonts w:ascii="Arial" w:hAnsi="Arial"/>
                              <w:b/>
                              <w:caps/>
                              <w:noProof/>
                              <w:sz w:val="17"/>
                            </w:rPr>
                            <w:fldChar w:fldCharType="begin"/>
                          </w:r>
                          <w:r w:rsidRPr="005F6086">
                            <w:rPr>
                              <w:rFonts w:ascii="Arial" w:hAnsi="Arial"/>
                              <w:b/>
                              <w:caps/>
                              <w:noProof/>
                              <w:sz w:val="17"/>
                              <w:lang w:val="da-DK"/>
                            </w:rPr>
                            <w:instrText xml:space="preserve"> IF </w:instrText>
                          </w:r>
                          <w:r>
                            <w:rPr>
                              <w:rFonts w:ascii="Arial" w:hAnsi="Arial"/>
                              <w:b/>
                              <w:caps/>
                              <w:noProof/>
                              <w:sz w:val="17"/>
                            </w:rPr>
                            <w:fldChar w:fldCharType="begin"/>
                          </w:r>
                          <w:r w:rsidRPr="005F6086">
                            <w:rPr>
                              <w:rFonts w:ascii="Arial" w:hAnsi="Arial"/>
                              <w:b/>
                              <w:caps/>
                              <w:noProof/>
                              <w:sz w:val="17"/>
                              <w:lang w:val="da-DK"/>
                            </w:rPr>
                            <w:instrText xml:space="preserve"> DOCPROPERTY CBORAPPORTTEKST</w:instrText>
                          </w:r>
                          <w:r>
                            <w:rPr>
                              <w:rFonts w:ascii="Arial" w:hAnsi="Arial"/>
                              <w:b/>
                              <w:caps/>
                              <w:noProof/>
                              <w:sz w:val="17"/>
                            </w:rPr>
                            <w:fldChar w:fldCharType="separate"/>
                          </w:r>
                          <w:r>
                            <w:rPr>
                              <w:rFonts w:ascii="Arial" w:hAnsi="Arial"/>
                              <w:bCs/>
                              <w:caps/>
                              <w:noProof/>
                              <w:sz w:val="17"/>
                            </w:rPr>
                            <w:instrText>Error! Unknown document property name.</w:instrText>
                          </w:r>
                          <w:r>
                            <w:rPr>
                              <w:rFonts w:ascii="Arial" w:hAnsi="Arial"/>
                              <w:b/>
                              <w:caps/>
                              <w:noProof/>
                              <w:sz w:val="17"/>
                            </w:rPr>
                            <w:fldChar w:fldCharType="end"/>
                          </w:r>
                          <w:r w:rsidRPr="005F6086">
                            <w:rPr>
                              <w:rFonts w:ascii="Arial" w:hAnsi="Arial"/>
                              <w:b/>
                              <w:caps/>
                              <w:noProof/>
                              <w:sz w:val="17"/>
                              <w:lang w:val="da-DK"/>
                            </w:rPr>
                            <w:instrText xml:space="preserve"> = " " "" </w:instrText>
                          </w:r>
                          <w:r>
                            <w:rPr>
                              <w:rFonts w:ascii="Arial" w:hAnsi="Arial"/>
                              <w:b/>
                              <w:caps/>
                              <w:noProof/>
                              <w:sz w:val="17"/>
                            </w:rPr>
                            <w:fldChar w:fldCharType="begin"/>
                          </w:r>
                          <w:r w:rsidRPr="005F6086">
                            <w:rPr>
                              <w:rFonts w:ascii="Arial" w:hAnsi="Arial"/>
                              <w:b/>
                              <w:caps/>
                              <w:noProof/>
                              <w:sz w:val="17"/>
                              <w:lang w:val="da-DK"/>
                            </w:rPr>
                            <w:instrText xml:space="preserve">IF </w:instrText>
                          </w:r>
                          <w:r>
                            <w:rPr>
                              <w:rFonts w:ascii="Arial" w:hAnsi="Arial"/>
                              <w:b/>
                              <w:caps/>
                              <w:noProof/>
                              <w:sz w:val="17"/>
                            </w:rPr>
                            <w:fldChar w:fldCharType="begin"/>
                          </w:r>
                          <w:r w:rsidRPr="005F6086">
                            <w:rPr>
                              <w:rFonts w:ascii="Arial" w:hAnsi="Arial"/>
                              <w:b/>
                              <w:caps/>
                              <w:noProof/>
                              <w:sz w:val="17"/>
                              <w:lang w:val="da-DK"/>
                            </w:rPr>
                            <w:instrText xml:space="preserve"> DOCPROPERTY " CBORAPPORTTEKST"</w:instrText>
                          </w:r>
                          <w:r>
                            <w:rPr>
                              <w:rFonts w:ascii="Arial" w:hAnsi="Arial"/>
                              <w:b/>
                              <w:caps/>
                              <w:noProof/>
                              <w:sz w:val="17"/>
                            </w:rPr>
                            <w:fldChar w:fldCharType="separate"/>
                          </w:r>
                          <w:r>
                            <w:rPr>
                              <w:rFonts w:ascii="Arial" w:hAnsi="Arial"/>
                              <w:bCs/>
                              <w:caps/>
                              <w:noProof/>
                              <w:sz w:val="17"/>
                            </w:rPr>
                            <w:instrText>Error! Unknown document property name.</w:instrText>
                          </w:r>
                          <w:r>
                            <w:rPr>
                              <w:rFonts w:ascii="Arial" w:hAnsi="Arial"/>
                              <w:b/>
                              <w:caps/>
                              <w:noProof/>
                              <w:sz w:val="17"/>
                            </w:rPr>
                            <w:fldChar w:fldCharType="end"/>
                          </w:r>
                          <w:r w:rsidRPr="005F6086">
                            <w:rPr>
                              <w:rFonts w:ascii="Arial" w:hAnsi="Arial"/>
                              <w:b/>
                              <w:caps/>
                              <w:noProof/>
                              <w:sz w:val="17"/>
                              <w:lang w:val="da-DK"/>
                            </w:rPr>
                            <w:instrText xml:space="preserve"> ="" "" "</w:instrText>
                          </w:r>
                          <w:r>
                            <w:rPr>
                              <w:rFonts w:ascii="Arial" w:hAnsi="Arial"/>
                              <w:b/>
                              <w:caps/>
                              <w:noProof/>
                              <w:sz w:val="17"/>
                            </w:rPr>
                            <w:fldChar w:fldCharType="begin"/>
                          </w:r>
                          <w:r w:rsidRPr="005F6086">
                            <w:rPr>
                              <w:rFonts w:ascii="Arial" w:hAnsi="Arial"/>
                              <w:b/>
                              <w:caps/>
                              <w:noProof/>
                              <w:sz w:val="17"/>
                              <w:lang w:val="da-DK"/>
                            </w:rPr>
                            <w:instrText xml:space="preserve"> DOCPROPERTY CBORAPPORTTEKST \* CHARFORMAT </w:instrText>
                          </w:r>
                          <w:r>
                            <w:rPr>
                              <w:rFonts w:ascii="Arial" w:hAnsi="Arial"/>
                              <w:b/>
                              <w:caps/>
                              <w:noProof/>
                              <w:sz w:val="17"/>
                            </w:rPr>
                            <w:fldChar w:fldCharType="separate"/>
                          </w:r>
                          <w:r>
                            <w:rPr>
                              <w:rFonts w:ascii="Arial" w:hAnsi="Arial"/>
                              <w:bCs/>
                              <w:caps/>
                              <w:noProof/>
                              <w:sz w:val="17"/>
                            </w:rPr>
                            <w:instrText>Error! Unknown document property name.</w:instrText>
                          </w:r>
                          <w:r>
                            <w:rPr>
                              <w:rFonts w:ascii="Arial" w:hAnsi="Arial"/>
                              <w:b/>
                              <w:caps/>
                              <w:noProof/>
                              <w:sz w:val="17"/>
                            </w:rPr>
                            <w:fldChar w:fldCharType="end"/>
                          </w:r>
                          <w:r w:rsidRPr="005F6086">
                            <w:rPr>
                              <w:rFonts w:ascii="Arial" w:hAnsi="Arial"/>
                              <w:b/>
                              <w:caps/>
                              <w:noProof/>
                              <w:sz w:val="17"/>
                              <w:lang w:val="da-DK"/>
                            </w:rPr>
                            <w:instrText xml:space="preserve"> | "</w:instrText>
                          </w:r>
                          <w:r>
                            <w:rPr>
                              <w:rFonts w:ascii="Arial" w:hAnsi="Arial"/>
                              <w:b/>
                              <w:caps/>
                              <w:noProof/>
                              <w:sz w:val="17"/>
                            </w:rPr>
                            <w:fldChar w:fldCharType="separate"/>
                          </w:r>
                          <w:r>
                            <w:rPr>
                              <w:rFonts w:ascii="Arial" w:hAnsi="Arial"/>
                              <w:bCs/>
                              <w:caps/>
                              <w:noProof/>
                              <w:sz w:val="17"/>
                            </w:rPr>
                            <w:instrText>Error! Unknown document property name.</w:instrText>
                          </w:r>
                          <w:r w:rsidRPr="005F6086">
                            <w:rPr>
                              <w:rFonts w:ascii="Arial" w:hAnsi="Arial"/>
                              <w:b/>
                              <w:caps/>
                              <w:noProof/>
                              <w:sz w:val="17"/>
                              <w:lang w:val="da-DK"/>
                            </w:rPr>
                            <w:instrText xml:space="preserve"> | </w:instrText>
                          </w:r>
                          <w:r>
                            <w:rPr>
                              <w:rFonts w:ascii="Arial" w:hAnsi="Arial"/>
                              <w:b/>
                              <w:caps/>
                              <w:noProof/>
                              <w:sz w:val="17"/>
                            </w:rPr>
                            <w:fldChar w:fldCharType="end"/>
                          </w:r>
                          <w:r>
                            <w:rPr>
                              <w:rFonts w:ascii="Arial" w:hAnsi="Arial"/>
                              <w:b/>
                              <w:caps/>
                              <w:noProof/>
                              <w:sz w:val="17"/>
                            </w:rPr>
                            <w:fldChar w:fldCharType="separate"/>
                          </w:r>
                          <w:r>
                            <w:rPr>
                              <w:rFonts w:ascii="Arial" w:hAnsi="Arial"/>
                              <w:bCs/>
                              <w:caps/>
                              <w:noProof/>
                              <w:sz w:val="17"/>
                            </w:rPr>
                            <w:t>Error! Unknown document property name.</w:t>
                          </w:r>
                          <w:r w:rsidRPr="005F6086">
                            <w:rPr>
                              <w:rFonts w:ascii="Arial" w:hAnsi="Arial"/>
                              <w:b/>
                              <w:caps/>
                              <w:noProof/>
                              <w:sz w:val="17"/>
                              <w:lang w:val="da-DK"/>
                            </w:rPr>
                            <w:t xml:space="preserve"> | </w:t>
                          </w:r>
                          <w:r>
                            <w:rPr>
                              <w:rFonts w:ascii="Arial" w:hAnsi="Arial"/>
                              <w:b/>
                              <w:caps/>
                              <w:noProof/>
                              <w:sz w:val="17"/>
                            </w:rPr>
                            <w:fldChar w:fldCharType="end"/>
                          </w:r>
                          <w:r>
                            <w:rPr>
                              <w:sz w:val="17"/>
                            </w:rPr>
                            <w:fldChar w:fldCharType="begin"/>
                          </w:r>
                          <w:r w:rsidRPr="005F6086">
                            <w:rPr>
                              <w:sz w:val="17"/>
                              <w:lang w:val="da-DK"/>
                            </w:rPr>
                            <w:instrText xml:space="preserve"> REF TNODocType \* MERGEFORMAT </w:instrText>
                          </w:r>
                          <w:r>
                            <w:rPr>
                              <w:sz w:val="17"/>
                            </w:rPr>
                            <w:fldChar w:fldCharType="separate"/>
                          </w:r>
                          <w:r>
                            <w:rPr>
                              <w:b/>
                              <w:bCs/>
                              <w:sz w:val="17"/>
                            </w:rPr>
                            <w:t>Error! Reference source not found.</w:t>
                          </w:r>
                          <w:r>
                            <w:rPr>
                              <w:sz w:val="17"/>
                            </w:rPr>
                            <w:fldChar w:fldCharType="end"/>
                          </w:r>
                          <w:r w:rsidRPr="005F6086">
                            <w:rPr>
                              <w:sz w:val="17"/>
                              <w:lang w:val="da-DK"/>
                            </w:rPr>
                            <w:t xml:space="preserve"> | </w:t>
                          </w:r>
                          <w:r>
                            <w:rPr>
                              <w:sz w:val="17"/>
                            </w:rPr>
                            <w:fldChar w:fldCharType="begin"/>
                          </w:r>
                          <w:r w:rsidRPr="005F6086">
                            <w:rPr>
                              <w:sz w:val="17"/>
                              <w:lang w:val="da-DK"/>
                            </w:rPr>
                            <w:instrText xml:space="preserve"> DOCPROPERTY Rapportnummer \* CHARFORMAT </w:instrText>
                          </w:r>
                          <w:r>
                            <w:rPr>
                              <w:sz w:val="17"/>
                            </w:rPr>
                            <w:fldChar w:fldCharType="separate"/>
                          </w:r>
                          <w:r>
                            <w:rPr>
                              <w:b/>
                              <w:bCs/>
                              <w:sz w:val="17"/>
                            </w:rPr>
                            <w:t>Error! Unknown document property name.</w:t>
                          </w:r>
                          <w:r>
                            <w:rPr>
                              <w:sz w:val="17"/>
                            </w:rPr>
                            <w:fldChar w:fldCharType="end"/>
                          </w:r>
                          <w:r>
                            <w:rPr>
                              <w:sz w:val="17"/>
                            </w:rPr>
                            <w:fldChar w:fldCharType="begin"/>
                          </w:r>
                          <w:r w:rsidRPr="005F6086">
                            <w:rPr>
                              <w:sz w:val="17"/>
                              <w:lang w:val="da-DK"/>
                            </w:rPr>
                            <w:instrText xml:space="preserve">IF </w:instrText>
                          </w:r>
                          <w:r>
                            <w:rPr>
                              <w:sz w:val="17"/>
                            </w:rPr>
                            <w:fldChar w:fldCharType="begin"/>
                          </w:r>
                          <w:r w:rsidRPr="005F6086">
                            <w:rPr>
                              <w:sz w:val="17"/>
                              <w:lang w:val="da-DK"/>
                            </w:rPr>
                            <w:instrText xml:space="preserve"> DOCPROPERTY"RPVersie"</w:instrText>
                          </w:r>
                          <w:r>
                            <w:rPr>
                              <w:sz w:val="17"/>
                            </w:rPr>
                            <w:fldChar w:fldCharType="separate"/>
                          </w:r>
                          <w:r>
                            <w:rPr>
                              <w:b/>
                              <w:bCs/>
                              <w:sz w:val="17"/>
                            </w:rPr>
                            <w:instrText>Error! Unknown document property name.</w:instrText>
                          </w:r>
                          <w:r>
                            <w:rPr>
                              <w:sz w:val="17"/>
                            </w:rPr>
                            <w:fldChar w:fldCharType="end"/>
                          </w:r>
                          <w:r w:rsidRPr="005F6086">
                            <w:rPr>
                              <w:sz w:val="17"/>
                              <w:lang w:val="da-DK"/>
                            </w:rPr>
                            <w:instrText xml:space="preserve"> =" " "" </w:instrText>
                          </w:r>
                          <w:r>
                            <w:rPr>
                              <w:sz w:val="17"/>
                            </w:rPr>
                            <w:fldChar w:fldCharType="begin"/>
                          </w:r>
                          <w:r w:rsidRPr="005F6086">
                            <w:rPr>
                              <w:sz w:val="17"/>
                              <w:lang w:val="da-DK"/>
                            </w:rPr>
                            <w:instrText xml:space="preserve">IF </w:instrText>
                          </w:r>
                          <w:r>
                            <w:rPr>
                              <w:sz w:val="17"/>
                            </w:rPr>
                            <w:fldChar w:fldCharType="begin"/>
                          </w:r>
                          <w:r w:rsidRPr="005F6086">
                            <w:rPr>
                              <w:sz w:val="17"/>
                              <w:lang w:val="da-DK"/>
                            </w:rPr>
                            <w:instrText xml:space="preserve"> DOCPROPERTY"RPVersie"</w:instrText>
                          </w:r>
                          <w:r>
                            <w:rPr>
                              <w:sz w:val="17"/>
                            </w:rPr>
                            <w:fldChar w:fldCharType="separate"/>
                          </w:r>
                          <w:r>
                            <w:rPr>
                              <w:b/>
                              <w:bCs/>
                              <w:sz w:val="17"/>
                            </w:rPr>
                            <w:instrText>Error! Unknown document property name.</w:instrText>
                          </w:r>
                          <w:r>
                            <w:rPr>
                              <w:sz w:val="17"/>
                            </w:rPr>
                            <w:fldChar w:fldCharType="end"/>
                          </w:r>
                          <w:r w:rsidRPr="005F6086">
                            <w:rPr>
                              <w:sz w:val="17"/>
                              <w:lang w:val="da-DK"/>
                            </w:rPr>
                            <w:instrText xml:space="preserve"> ="" "" " | </w:instrText>
                          </w:r>
                          <w:r>
                            <w:rPr>
                              <w:sz w:val="17"/>
                            </w:rPr>
                            <w:fldChar w:fldCharType="begin"/>
                          </w:r>
                          <w:r w:rsidRPr="005F6086">
                            <w:rPr>
                              <w:sz w:val="17"/>
                              <w:lang w:val="da-DK"/>
                            </w:rPr>
                            <w:instrText xml:space="preserve"> DOCPROPERTY RPVersie \* CHARFORMAT </w:instrText>
                          </w:r>
                          <w:r>
                            <w:rPr>
                              <w:sz w:val="17"/>
                            </w:rPr>
                            <w:fldChar w:fldCharType="separate"/>
                          </w:r>
                          <w:r>
                            <w:rPr>
                              <w:b/>
                              <w:bCs/>
                              <w:sz w:val="17"/>
                            </w:rPr>
                            <w:instrText>Error! Unknown document property name.</w:instrText>
                          </w:r>
                          <w:r>
                            <w:rPr>
                              <w:sz w:val="17"/>
                            </w:rPr>
                            <w:fldChar w:fldCharType="end"/>
                          </w:r>
                          <w:r w:rsidRPr="005F6086">
                            <w:rPr>
                              <w:sz w:val="17"/>
                              <w:lang w:val="da-DK"/>
                            </w:rPr>
                            <w:instrText>"</w:instrText>
                          </w:r>
                          <w:r>
                            <w:rPr>
                              <w:sz w:val="17"/>
                            </w:rPr>
                            <w:fldChar w:fldCharType="separate"/>
                          </w:r>
                          <w:r w:rsidRPr="005F6086">
                            <w:rPr>
                              <w:noProof/>
                              <w:sz w:val="17"/>
                              <w:lang w:val="da-DK"/>
                            </w:rPr>
                            <w:instrText xml:space="preserve"> | </w:instrText>
                          </w:r>
                          <w:r>
                            <w:rPr>
                              <w:b/>
                              <w:bCs/>
                              <w:noProof/>
                              <w:sz w:val="17"/>
                            </w:rPr>
                            <w:instrText>Error! Unknown document property name.</w:instrText>
                          </w:r>
                          <w:r>
                            <w:rPr>
                              <w:sz w:val="17"/>
                            </w:rPr>
                            <w:fldChar w:fldCharType="end"/>
                          </w:r>
                          <w:r>
                            <w:rPr>
                              <w:sz w:val="17"/>
                            </w:rPr>
                            <w:fldChar w:fldCharType="separate"/>
                          </w:r>
                          <w:r w:rsidRPr="005F6086">
                            <w:rPr>
                              <w:noProof/>
                              <w:sz w:val="17"/>
                              <w:lang w:val="da-DK"/>
                            </w:rPr>
                            <w:t xml:space="preserve"> | </w:t>
                          </w:r>
                          <w:r>
                            <w:rPr>
                              <w:b/>
                              <w:bCs/>
                              <w:noProof/>
                              <w:sz w:val="17"/>
                            </w:rPr>
                            <w:t>Error! Unknown document property name.</w:t>
                          </w:r>
                          <w:r>
                            <w:rPr>
                              <w:sz w:val="17"/>
                            </w:rPr>
                            <w:fldChar w:fldCharType="end"/>
                          </w:r>
                          <w:r>
                            <w:rPr>
                              <w:sz w:val="17"/>
                            </w:rPr>
                            <w:fldChar w:fldCharType="begin"/>
                          </w:r>
                          <w:r w:rsidRPr="005F6086">
                            <w:rPr>
                              <w:sz w:val="17"/>
                              <w:lang w:val="da-DK"/>
                            </w:rPr>
                            <w:instrText xml:space="preserve">IF </w:instrText>
                          </w:r>
                          <w:r>
                            <w:rPr>
                              <w:sz w:val="17"/>
                            </w:rPr>
                            <w:fldChar w:fldCharType="begin"/>
                          </w:r>
                          <w:r w:rsidRPr="005F6086">
                            <w:rPr>
                              <w:sz w:val="17"/>
                              <w:lang w:val="da-DK"/>
                            </w:rPr>
                            <w:instrText xml:space="preserve"> DOCPROPERTY"RPDatum"</w:instrText>
                          </w:r>
                          <w:r>
                            <w:rPr>
                              <w:sz w:val="17"/>
                            </w:rPr>
                            <w:fldChar w:fldCharType="separate"/>
                          </w:r>
                          <w:r>
                            <w:rPr>
                              <w:b/>
                              <w:bCs/>
                              <w:sz w:val="17"/>
                            </w:rPr>
                            <w:instrText>Error! Unknown document property name.</w:instrText>
                          </w:r>
                          <w:r>
                            <w:rPr>
                              <w:sz w:val="17"/>
                            </w:rPr>
                            <w:fldChar w:fldCharType="end"/>
                          </w:r>
                          <w:r w:rsidRPr="005F6086">
                            <w:rPr>
                              <w:sz w:val="17"/>
                              <w:lang w:val="da-DK"/>
                            </w:rPr>
                            <w:instrText xml:space="preserve"> =" " "" </w:instrText>
                          </w:r>
                          <w:r>
                            <w:rPr>
                              <w:sz w:val="17"/>
                            </w:rPr>
                            <w:fldChar w:fldCharType="begin"/>
                          </w:r>
                          <w:r w:rsidRPr="005F6086">
                            <w:rPr>
                              <w:sz w:val="17"/>
                              <w:lang w:val="da-DK"/>
                            </w:rPr>
                            <w:instrText xml:space="preserve">IF </w:instrText>
                          </w:r>
                          <w:r>
                            <w:rPr>
                              <w:sz w:val="17"/>
                            </w:rPr>
                            <w:fldChar w:fldCharType="begin"/>
                          </w:r>
                          <w:r w:rsidRPr="005F6086">
                            <w:rPr>
                              <w:sz w:val="17"/>
                              <w:lang w:val="da-DK"/>
                            </w:rPr>
                            <w:instrText xml:space="preserve"> DOCPROPERTY" RPDatum"</w:instrText>
                          </w:r>
                          <w:r>
                            <w:rPr>
                              <w:sz w:val="17"/>
                            </w:rPr>
                            <w:fldChar w:fldCharType="separate"/>
                          </w:r>
                          <w:r>
                            <w:rPr>
                              <w:b/>
                              <w:bCs/>
                              <w:sz w:val="17"/>
                            </w:rPr>
                            <w:instrText>Error! Unknown document property name.</w:instrText>
                          </w:r>
                          <w:r>
                            <w:rPr>
                              <w:sz w:val="17"/>
                            </w:rPr>
                            <w:fldChar w:fldCharType="end"/>
                          </w:r>
                          <w:r w:rsidRPr="005F6086">
                            <w:rPr>
                              <w:sz w:val="17"/>
                              <w:lang w:val="da-DK"/>
                            </w:rPr>
                            <w:instrText xml:space="preserve"> ="" "" " | </w:instrText>
                          </w:r>
                          <w:r>
                            <w:rPr>
                              <w:sz w:val="17"/>
                            </w:rPr>
                            <w:fldChar w:fldCharType="begin"/>
                          </w:r>
                          <w:r w:rsidRPr="005F6086">
                            <w:rPr>
                              <w:sz w:val="17"/>
                              <w:lang w:val="da-DK"/>
                            </w:rPr>
                            <w:instrText xml:space="preserve"> DOCPROPERTY RPDatum \* CHARFORMAT </w:instrText>
                          </w:r>
                          <w:r>
                            <w:rPr>
                              <w:sz w:val="17"/>
                            </w:rPr>
                            <w:fldChar w:fldCharType="separate"/>
                          </w:r>
                          <w:r>
                            <w:rPr>
                              <w:b/>
                              <w:bCs/>
                              <w:sz w:val="17"/>
                            </w:rPr>
                            <w:instrText>Error! Unknown document property name.</w:instrText>
                          </w:r>
                          <w:r>
                            <w:rPr>
                              <w:sz w:val="17"/>
                            </w:rPr>
                            <w:fldChar w:fldCharType="end"/>
                          </w:r>
                          <w:r w:rsidRPr="005F6086">
                            <w:rPr>
                              <w:sz w:val="17"/>
                              <w:lang w:val="da-DK"/>
                            </w:rPr>
                            <w:instrText>"</w:instrText>
                          </w:r>
                          <w:r>
                            <w:rPr>
                              <w:sz w:val="17"/>
                            </w:rPr>
                            <w:fldChar w:fldCharType="separate"/>
                          </w:r>
                          <w:r w:rsidRPr="005F6086">
                            <w:rPr>
                              <w:noProof/>
                              <w:sz w:val="17"/>
                              <w:lang w:val="da-DK"/>
                            </w:rPr>
                            <w:instrText xml:space="preserve"> | </w:instrText>
                          </w:r>
                          <w:r>
                            <w:rPr>
                              <w:b/>
                              <w:bCs/>
                              <w:noProof/>
                              <w:sz w:val="17"/>
                            </w:rPr>
                            <w:instrText>Error! Unknown document property name.</w:instrText>
                          </w:r>
                          <w:r>
                            <w:rPr>
                              <w:sz w:val="17"/>
                            </w:rPr>
                            <w:fldChar w:fldCharType="end"/>
                          </w:r>
                          <w:r>
                            <w:rPr>
                              <w:sz w:val="17"/>
                            </w:rPr>
                            <w:fldChar w:fldCharType="separate"/>
                          </w:r>
                          <w:r w:rsidRPr="005F6086">
                            <w:rPr>
                              <w:noProof/>
                              <w:sz w:val="17"/>
                              <w:lang w:val="da-DK"/>
                            </w:rPr>
                            <w:t xml:space="preserve"> | </w:t>
                          </w:r>
                          <w:r>
                            <w:rPr>
                              <w:b/>
                              <w:bCs/>
                              <w:noProof/>
                              <w:sz w:val="17"/>
                            </w:rPr>
                            <w:t>Error! Unknown document property name.</w:t>
                          </w:r>
                          <w:r>
                            <w:rPr>
                              <w:sz w:val="17"/>
                            </w:rPr>
                            <w:fldChar w:fldCharType="end"/>
                          </w:r>
                          <w:r>
                            <w:rPr>
                              <w:i/>
                              <w:sz w:val="17"/>
                            </w:rPr>
                            <w:fldChar w:fldCharType="begin"/>
                          </w:r>
                          <w:r w:rsidRPr="005F6086">
                            <w:rPr>
                              <w:i/>
                              <w:sz w:val="17"/>
                              <w:lang w:val="da-DK"/>
                            </w:rPr>
                            <w:instrText xml:space="preserve">IF </w:instrText>
                          </w:r>
                          <w:r>
                            <w:rPr>
                              <w:i/>
                              <w:sz w:val="17"/>
                            </w:rPr>
                            <w:fldChar w:fldCharType="begin"/>
                          </w:r>
                          <w:r w:rsidRPr="005F6086">
                            <w:rPr>
                              <w:i/>
                              <w:sz w:val="17"/>
                              <w:lang w:val="da-DK"/>
                            </w:rPr>
                            <w:instrText xml:space="preserve"> DOCPROPERTY"RPNaamOpdrachtgever"</w:instrText>
                          </w:r>
                          <w:r>
                            <w:rPr>
                              <w:i/>
                              <w:sz w:val="17"/>
                            </w:rPr>
                            <w:fldChar w:fldCharType="separate"/>
                          </w:r>
                          <w:r>
                            <w:rPr>
                              <w:b/>
                              <w:bCs/>
                              <w:i/>
                              <w:sz w:val="17"/>
                            </w:rPr>
                            <w:instrText>Error! Unknown document property name.</w:instrText>
                          </w:r>
                          <w:r>
                            <w:rPr>
                              <w:i/>
                              <w:sz w:val="17"/>
                            </w:rPr>
                            <w:fldChar w:fldCharType="end"/>
                          </w:r>
                          <w:r w:rsidRPr="005F6086">
                            <w:rPr>
                              <w:i/>
                              <w:sz w:val="17"/>
                              <w:lang w:val="da-DK"/>
                            </w:rPr>
                            <w:instrText xml:space="preserve"> =" " "" </w:instrText>
                          </w:r>
                          <w:r>
                            <w:rPr>
                              <w:i/>
                              <w:sz w:val="17"/>
                            </w:rPr>
                            <w:fldChar w:fldCharType="begin"/>
                          </w:r>
                          <w:r w:rsidRPr="005F6086">
                            <w:rPr>
                              <w:i/>
                              <w:sz w:val="17"/>
                              <w:lang w:val="da-DK"/>
                            </w:rPr>
                            <w:instrText xml:space="preserve">IF </w:instrText>
                          </w:r>
                          <w:r>
                            <w:rPr>
                              <w:i/>
                              <w:sz w:val="17"/>
                            </w:rPr>
                            <w:fldChar w:fldCharType="begin"/>
                          </w:r>
                          <w:r w:rsidRPr="005F6086">
                            <w:rPr>
                              <w:i/>
                              <w:sz w:val="17"/>
                              <w:lang w:val="da-DK"/>
                            </w:rPr>
                            <w:instrText xml:space="preserve"> DOCPROPERTY"RPNaamOpdrachtgever"</w:instrText>
                          </w:r>
                          <w:r>
                            <w:rPr>
                              <w:i/>
                              <w:sz w:val="17"/>
                            </w:rPr>
                            <w:fldChar w:fldCharType="separate"/>
                          </w:r>
                          <w:r>
                            <w:rPr>
                              <w:b/>
                              <w:bCs/>
                              <w:i/>
                              <w:sz w:val="17"/>
                            </w:rPr>
                            <w:instrText>Error! Unknown document property name.</w:instrText>
                          </w:r>
                          <w:r>
                            <w:rPr>
                              <w:i/>
                              <w:sz w:val="17"/>
                            </w:rPr>
                            <w:fldChar w:fldCharType="end"/>
                          </w:r>
                          <w:r w:rsidRPr="005F6086">
                            <w:rPr>
                              <w:i/>
                              <w:sz w:val="17"/>
                              <w:lang w:val="da-DK"/>
                            </w:rPr>
                            <w:instrText xml:space="preserve"> ="" "" " | </w:instrText>
                          </w:r>
                          <w:r>
                            <w:rPr>
                              <w:i/>
                              <w:sz w:val="17"/>
                            </w:rPr>
                            <w:fldChar w:fldCharType="begin"/>
                          </w:r>
                          <w:r w:rsidRPr="005F6086">
                            <w:rPr>
                              <w:i/>
                              <w:sz w:val="17"/>
                              <w:lang w:val="da-DK"/>
                            </w:rPr>
                            <w:instrText xml:space="preserve"> DOCPROPERTY RPNaamOpdrachtgever \* CHARFORMAT </w:instrText>
                          </w:r>
                          <w:r>
                            <w:rPr>
                              <w:i/>
                              <w:sz w:val="17"/>
                            </w:rPr>
                            <w:fldChar w:fldCharType="separate"/>
                          </w:r>
                          <w:r>
                            <w:rPr>
                              <w:b/>
                              <w:bCs/>
                              <w:i/>
                              <w:sz w:val="17"/>
                            </w:rPr>
                            <w:instrText>Error! Unknown document property name.</w:instrText>
                          </w:r>
                          <w:r>
                            <w:rPr>
                              <w:i/>
                              <w:sz w:val="17"/>
                            </w:rPr>
                            <w:fldChar w:fldCharType="end"/>
                          </w:r>
                          <w:r w:rsidRPr="005F6086">
                            <w:rPr>
                              <w:i/>
                              <w:sz w:val="17"/>
                              <w:lang w:val="da-DK"/>
                            </w:rPr>
                            <w:instrText>"</w:instrText>
                          </w:r>
                          <w:r>
                            <w:rPr>
                              <w:i/>
                              <w:sz w:val="17"/>
                            </w:rPr>
                            <w:fldChar w:fldCharType="separate"/>
                          </w:r>
                          <w:r w:rsidRPr="005F6086">
                            <w:rPr>
                              <w:i/>
                              <w:noProof/>
                              <w:sz w:val="17"/>
                              <w:lang w:val="da-DK"/>
                            </w:rPr>
                            <w:instrText xml:space="preserve"> | </w:instrText>
                          </w:r>
                          <w:r>
                            <w:rPr>
                              <w:b/>
                              <w:bCs/>
                              <w:i/>
                              <w:noProof/>
                              <w:sz w:val="17"/>
                            </w:rPr>
                            <w:instrText>Error! Unknown document property name.</w:instrText>
                          </w:r>
                          <w:r>
                            <w:rPr>
                              <w:i/>
                              <w:sz w:val="17"/>
                            </w:rPr>
                            <w:fldChar w:fldCharType="end"/>
                          </w:r>
                          <w:r>
                            <w:rPr>
                              <w:i/>
                              <w:sz w:val="17"/>
                            </w:rPr>
                            <w:fldChar w:fldCharType="separate"/>
                          </w:r>
                          <w:r w:rsidRPr="005F6086">
                            <w:rPr>
                              <w:i/>
                              <w:noProof/>
                              <w:sz w:val="17"/>
                              <w:lang w:val="da-DK"/>
                            </w:rPr>
                            <w:t xml:space="preserve"> | </w:t>
                          </w:r>
                          <w:r>
                            <w:rPr>
                              <w:b/>
                              <w:bCs/>
                              <w:i/>
                              <w:noProof/>
                              <w:sz w:val="17"/>
                            </w:rPr>
                            <w:t>Error! Unknown document property name.</w:t>
                          </w:r>
                          <w:r>
                            <w:rPr>
                              <w:i/>
                              <w:sz w:val="17"/>
                            </w:rPr>
                            <w:fldChar w:fldCharType="end"/>
                          </w:r>
                        </w:p>
                      </w:tc>
                    </w:tr>
                  </w:tbl>
                  <w:p w14:paraId="1D561CD4" w14:textId="77777777" w:rsidR="008B0B95" w:rsidRDefault="008B0B95">
                    <w:pPr>
                      <w:tabs>
                        <w:tab w:val="right" w:pos="8335"/>
                      </w:tabs>
                    </w:pPr>
                  </w:p>
                </w:txbxContent>
              </v:textbox>
              <w10:wrap anchorx="page" anchory="page"/>
            </v:shape>
          </w:pict>
        </mc:Fallback>
      </mc:AlternateContent>
    </w:r>
    <w:r>
      <w:rPr>
        <w:noProof/>
        <w:lang w:eastAsia="en-GB"/>
      </w:rPr>
      <mc:AlternateContent>
        <mc:Choice Requires="wps">
          <w:drawing>
            <wp:anchor distT="0" distB="0" distL="114300" distR="114300" simplePos="0" relativeHeight="251658241" behindDoc="0" locked="0" layoutInCell="0" allowOverlap="1" wp14:anchorId="39E2F5C9" wp14:editId="52FBFFDA">
              <wp:simplePos x="0" y="0"/>
              <wp:positionH relativeFrom="page">
                <wp:posOffset>575945</wp:posOffset>
              </wp:positionH>
              <wp:positionV relativeFrom="page">
                <wp:posOffset>1242060</wp:posOffset>
              </wp:positionV>
              <wp:extent cx="4751705" cy="2879725"/>
              <wp:effectExtent l="0" t="0" r="0" b="0"/>
              <wp:wrapNone/>
              <wp:docPr id="7"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1705" cy="287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393B17" w14:textId="0726A342" w:rsidR="008B0B95" w:rsidRDefault="008B0B95">
                          <w:pPr>
                            <w:pStyle w:val="Status"/>
                            <w:spacing w:line="1276" w:lineRule="exact"/>
                            <w:rPr>
                              <w:sz w:val="2"/>
                            </w:rPr>
                          </w:pPr>
                          <w:r>
                            <w:fldChar w:fldCharType="begin"/>
                          </w:r>
                          <w:r>
                            <w:instrText xml:space="preserve"> DOCPROPERTY Status \* CHARFORMAT </w:instrText>
                          </w:r>
                          <w:r>
                            <w:fldChar w:fldCharType="separate"/>
                          </w:r>
                          <w:r>
                            <w:rPr>
                              <w:b/>
                              <w:bCs/>
                              <w:lang w:val="en-US"/>
                            </w:rPr>
                            <w:t>Error! Unknown document property name.</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E2F5C9" id="Text Box 33" o:spid="_x0000_s1027" type="#_x0000_t202" style="position:absolute;left:0;text-align:left;margin-left:45.35pt;margin-top:97.8pt;width:374.15pt;height:226.75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" o:allowincell="f" filled="f" stroked="f">
              <v:textbox inset="0,0,0,0">
                <w:txbxContent>
                  <w:p w14:paraId="17393B17" w14:textId="0726A342" w:rsidR="008B0B95" w:rsidRDefault="008B0B95">
                    <w:pPr>
                      <w:pStyle w:val="Status"/>
                      <w:spacing w:line="1276" w:lineRule="exact"/>
                      <w:rPr>
                        <w:sz w:val="2"/>
                      </w:rPr>
                    </w:pPr>
                    <w:r>
                      <w:fldChar w:fldCharType="begin"/>
                    </w:r>
                    <w:r>
                      <w:instrText xml:space="preserve"> DOCPROPERTY Status \* CHARFORMAT </w:instrText>
                    </w:r>
                    <w:r>
                      <w:fldChar w:fldCharType="separate"/>
                    </w:r>
                    <w:r>
                      <w:rPr>
                        <w:b/>
                        <w:bCs/>
                        <w:lang w:val="en-US"/>
                      </w:rPr>
                      <w:t>Error! Unknown document property name.</w:t>
                    </w:r>
                    <w: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B"/>
    <w:multiLevelType w:val="multilevel"/>
    <w:tmpl w:val="B6B27D8A"/>
    <w:lvl w:ilvl="0">
      <w:start w:val="1"/>
      <w:numFmt w:val="decimal"/>
      <w:suff w:val="nothing"/>
      <w:lvlText w:val="%1."/>
      <w:lvlJc w:val="left"/>
      <w:pPr>
        <w:ind w:left="0" w:firstLine="0"/>
      </w:pPr>
    </w:lvl>
    <w:lvl w:ilvl="1">
      <w:start w:val="1"/>
      <w:numFmt w:val="decimal"/>
      <w:lvlText w:val="%1.%2"/>
      <w:lvlJc w:val="left"/>
      <w:pPr>
        <w:tabs>
          <w:tab w:val="num" w:pos="0"/>
        </w:tabs>
        <w:ind w:left="0" w:firstLine="0"/>
      </w:p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pStyle w:val="Overskrift7"/>
      <w:lvlText w:val="%1.%2.%3.%4.%5.%6.%7"/>
      <w:lvlJc w:val="left"/>
      <w:pPr>
        <w:tabs>
          <w:tab w:val="num" w:pos="0"/>
        </w:tabs>
        <w:ind w:left="0" w:firstLine="0"/>
      </w:pPr>
    </w:lvl>
    <w:lvl w:ilvl="7">
      <w:start w:val="1"/>
      <w:numFmt w:val="decimal"/>
      <w:pStyle w:val="Overskrift8"/>
      <w:lvlText w:val="%1.%2.%3.%4.%5.%6.%7.%8"/>
      <w:lvlJc w:val="left"/>
      <w:pPr>
        <w:tabs>
          <w:tab w:val="num" w:pos="0"/>
        </w:tabs>
        <w:ind w:left="0" w:firstLine="0"/>
      </w:pPr>
    </w:lvl>
    <w:lvl w:ilvl="8">
      <w:start w:val="1"/>
      <w:numFmt w:val="decimal"/>
      <w:pStyle w:val="Overskrift9"/>
      <w:lvlText w:val="%1.%2.%3.%4.%5.%6.%7.%8.%9"/>
      <w:lvlJc w:val="left"/>
      <w:pPr>
        <w:tabs>
          <w:tab w:val="num" w:pos="0"/>
        </w:tabs>
        <w:ind w:left="0" w:firstLine="0"/>
      </w:pPr>
    </w:lvl>
  </w:abstractNum>
  <w:abstractNum w:abstractNumId="1" w15:restartNumberingAfterBreak="0">
    <w:nsid w:val="19655C57"/>
    <w:multiLevelType w:val="hybridMultilevel"/>
    <w:tmpl w:val="7D92D7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A2E0393"/>
    <w:multiLevelType w:val="multilevel"/>
    <w:tmpl w:val="988219DE"/>
    <w:lvl w:ilvl="0">
      <w:start w:val="1"/>
      <w:numFmt w:val="bullet"/>
      <w:pStyle w:val="Els-bulletlist"/>
      <w:lvlText w:val=""/>
      <w:lvlJc w:val="left"/>
      <w:pPr>
        <w:tabs>
          <w:tab w:val="num" w:pos="360"/>
        </w:tabs>
        <w:ind w:left="240" w:hanging="240"/>
      </w:pPr>
      <w:rPr>
        <w:rFonts w:ascii="Symbol" w:hAnsi="Symbol" w:hint="default"/>
      </w:rPr>
    </w:lvl>
    <w:lvl w:ilvl="1">
      <w:start w:val="1"/>
      <w:numFmt w:val="bullet"/>
      <w:lvlText w:val="○"/>
      <w:lvlJc w:val="left"/>
      <w:pPr>
        <w:tabs>
          <w:tab w:val="num" w:pos="600"/>
        </w:tabs>
        <w:ind w:left="480" w:hanging="240"/>
      </w:pPr>
      <w:rPr>
        <w:rFonts w:ascii="Times New Roman" w:hAnsi="Times New Roman" w:hint="default"/>
        <w:sz w:val="28"/>
      </w:rPr>
    </w:lvl>
    <w:lvl w:ilvl="2">
      <w:start w:val="1"/>
      <w:numFmt w:val="bullet"/>
      <w:lvlText w:val="–"/>
      <w:lvlJc w:val="left"/>
      <w:pPr>
        <w:tabs>
          <w:tab w:val="num" w:pos="840"/>
        </w:tabs>
        <w:ind w:left="720" w:hanging="240"/>
      </w:pPr>
      <w:rPr>
        <w:rFonts w:ascii="Times New Roman" w:hAnsi="Times New Roman" w:hint="default"/>
      </w:rPr>
    </w:lvl>
    <w:lvl w:ilvl="3">
      <w:start w:val="1"/>
      <w:numFmt w:val="none"/>
      <w:lvlText w:val="-"/>
      <w:lvlJc w:val="left"/>
      <w:pPr>
        <w:tabs>
          <w:tab w:val="num" w:pos="1080"/>
        </w:tabs>
        <w:ind w:left="960" w:hanging="240"/>
      </w:pPr>
      <w:rPr>
        <w:rFonts w:ascii="Times New Roman" w:hAnsi="Times New Roman" w:hint="default"/>
      </w:rPr>
    </w:lvl>
    <w:lvl w:ilvl="4">
      <w:start w:val="1"/>
      <w:numFmt w:val="none"/>
      <w:lvlText w:val="-"/>
      <w:lvlJc w:val="left"/>
      <w:pPr>
        <w:tabs>
          <w:tab w:val="num" w:pos="1320"/>
        </w:tabs>
        <w:ind w:left="1200" w:hanging="240"/>
      </w:pPr>
      <w:rPr>
        <w:rFonts w:ascii="Times New Roman" w:hAnsi="Times New Roman" w:hint="default"/>
      </w:rPr>
    </w:lvl>
    <w:lvl w:ilvl="5">
      <w:start w:val="1"/>
      <w:numFmt w:val="none"/>
      <w:lvlText w:val="-"/>
      <w:lvlJc w:val="left"/>
      <w:pPr>
        <w:tabs>
          <w:tab w:val="num" w:pos="1560"/>
        </w:tabs>
        <w:ind w:left="1440" w:hanging="240"/>
      </w:pPr>
      <w:rPr>
        <w:rFonts w:ascii="Times New Roman" w:hAnsi="Times New Roman" w:hint="default"/>
      </w:rPr>
    </w:lvl>
    <w:lvl w:ilvl="6">
      <w:start w:val="1"/>
      <w:numFmt w:val="none"/>
      <w:lvlText w:val="-"/>
      <w:lvlJc w:val="left"/>
      <w:pPr>
        <w:tabs>
          <w:tab w:val="num" w:pos="1800"/>
        </w:tabs>
        <w:ind w:left="1680" w:hanging="240"/>
      </w:pPr>
      <w:rPr>
        <w:rFonts w:ascii="Times New Roman" w:hAnsi="Times New Roman" w:hint="default"/>
      </w:rPr>
    </w:lvl>
    <w:lvl w:ilvl="7">
      <w:start w:val="1"/>
      <w:numFmt w:val="none"/>
      <w:lvlText w:val="-"/>
      <w:lvlJc w:val="left"/>
      <w:pPr>
        <w:tabs>
          <w:tab w:val="num" w:pos="2040"/>
        </w:tabs>
        <w:ind w:left="1920" w:hanging="240"/>
      </w:pPr>
      <w:rPr>
        <w:rFonts w:ascii="Times New Roman" w:hAnsi="Times New Roman" w:hint="default"/>
      </w:rPr>
    </w:lvl>
    <w:lvl w:ilvl="8">
      <w:start w:val="1"/>
      <w:numFmt w:val="none"/>
      <w:lvlText w:val="-"/>
      <w:lvlJc w:val="left"/>
      <w:pPr>
        <w:tabs>
          <w:tab w:val="num" w:pos="2280"/>
        </w:tabs>
        <w:ind w:left="2160" w:hanging="240"/>
      </w:pPr>
      <w:rPr>
        <w:rFonts w:ascii="Times New Roman" w:hAnsi="Times New Roman" w:hint="default"/>
      </w:rPr>
    </w:lvl>
  </w:abstractNum>
  <w:abstractNum w:abstractNumId="3" w15:restartNumberingAfterBreak="0">
    <w:nsid w:val="46A61390"/>
    <w:multiLevelType w:val="hybridMultilevel"/>
    <w:tmpl w:val="5AFABA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4873241C"/>
    <w:multiLevelType w:val="multilevel"/>
    <w:tmpl w:val="B17A283E"/>
    <w:lvl w:ilvl="0">
      <w:numFmt w:val="decimal"/>
      <w:pStyle w:val="Overskrift1"/>
      <w:lvlText w:val="%1"/>
      <w:lvlJc w:val="left"/>
      <w:pPr>
        <w:tabs>
          <w:tab w:val="num" w:pos="851"/>
        </w:tabs>
        <w:ind w:left="851" w:hanging="851"/>
      </w:pPr>
      <w:rPr>
        <w:rFonts w:hint="default"/>
      </w:rPr>
    </w:lvl>
    <w:lvl w:ilvl="1">
      <w:start w:val="1"/>
      <w:numFmt w:val="decimal"/>
      <w:pStyle w:val="Overskrift2"/>
      <w:lvlText w:val="%1.%2"/>
      <w:lvlJc w:val="left"/>
      <w:pPr>
        <w:tabs>
          <w:tab w:val="num" w:pos="851"/>
        </w:tabs>
        <w:ind w:left="851" w:hanging="851"/>
      </w:pPr>
      <w:rPr>
        <w:rFonts w:hint="default"/>
        <w:sz w:val="22"/>
        <w:szCs w:val="22"/>
      </w:rPr>
    </w:lvl>
    <w:lvl w:ilvl="2">
      <w:start w:val="1"/>
      <w:numFmt w:val="decimal"/>
      <w:pStyle w:val="Overskrift3"/>
      <w:lvlText w:val="%1.%2.%3"/>
      <w:lvlJc w:val="left"/>
      <w:pPr>
        <w:tabs>
          <w:tab w:val="num" w:pos="851"/>
        </w:tabs>
        <w:ind w:left="851" w:hanging="851"/>
      </w:pPr>
      <w:rPr>
        <w:rFonts w:hint="default"/>
      </w:rPr>
    </w:lvl>
    <w:lvl w:ilvl="3">
      <w:start w:val="1"/>
      <w:numFmt w:val="decimal"/>
      <w:pStyle w:val="Overskrift4"/>
      <w:suff w:val="space"/>
      <w:lvlText w:val="%1.%2.%3.%4  "/>
      <w:lvlJc w:val="left"/>
      <w:pPr>
        <w:ind w:left="1844" w:hanging="1134"/>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 w15:restartNumberingAfterBreak="0">
    <w:nsid w:val="55A326E1"/>
    <w:multiLevelType w:val="hybridMultilevel"/>
    <w:tmpl w:val="B982633A"/>
    <w:lvl w:ilvl="0" w:tplc="41DE5A1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9327E1F"/>
    <w:multiLevelType w:val="multilevel"/>
    <w:tmpl w:val="F0743DBE"/>
    <w:lvl w:ilvl="0">
      <w:start w:val="1"/>
      <w:numFmt w:val="none"/>
      <w:lvlText w:val=""/>
      <w:lvlJc w:val="left"/>
      <w:pPr>
        <w:tabs>
          <w:tab w:val="num" w:pos="360"/>
        </w:tabs>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upperLetter"/>
      <w:pStyle w:val="BijlageHeader"/>
      <w:lvlText w:val="%7"/>
      <w:lvlJc w:val="left"/>
      <w:pPr>
        <w:tabs>
          <w:tab w:val="num" w:pos="360"/>
        </w:tabs>
        <w:ind w:left="0" w:firstLine="0"/>
      </w:pPr>
    </w:lvl>
    <w:lvl w:ilvl="7">
      <w:start w:val="1"/>
      <w:numFmt w:val="decimal"/>
      <w:pStyle w:val="BijlageHeader2"/>
      <w:lvlText w:val="%7.%8"/>
      <w:lvlJc w:val="left"/>
      <w:pPr>
        <w:tabs>
          <w:tab w:val="num" w:pos="720"/>
        </w:tabs>
        <w:ind w:left="0" w:firstLine="0"/>
      </w:pPr>
    </w:lvl>
    <w:lvl w:ilvl="8">
      <w:start w:val="1"/>
      <w:numFmt w:val="decimal"/>
      <w:pStyle w:val="BijlageHeader3"/>
      <w:lvlText w:val="%7.%8.%9"/>
      <w:lvlJc w:val="left"/>
      <w:pPr>
        <w:tabs>
          <w:tab w:val="num" w:pos="720"/>
        </w:tabs>
        <w:ind w:left="0" w:firstLine="0"/>
      </w:pPr>
    </w:lvl>
  </w:abstractNum>
  <w:abstractNum w:abstractNumId="7" w15:restartNumberingAfterBreak="0">
    <w:nsid w:val="6B463ACF"/>
    <w:multiLevelType w:val="hybridMultilevel"/>
    <w:tmpl w:val="B982633A"/>
    <w:lvl w:ilvl="0" w:tplc="41DE5A1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EC430F7"/>
    <w:multiLevelType w:val="hybridMultilevel"/>
    <w:tmpl w:val="574A126C"/>
    <w:lvl w:ilvl="0" w:tplc="07105A72">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D2C475C"/>
    <w:multiLevelType w:val="hybridMultilevel"/>
    <w:tmpl w:val="6EF08B04"/>
    <w:lvl w:ilvl="0" w:tplc="E2D0E0E6">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0"/>
  </w:num>
  <w:num w:numId="4">
    <w:abstractNumId w:val="0"/>
  </w:num>
  <w:num w:numId="5">
    <w:abstractNumId w:val="6"/>
  </w:num>
  <w:num w:numId="6">
    <w:abstractNumId w:val="2"/>
  </w:num>
  <w:num w:numId="7">
    <w:abstractNumId w:val="8"/>
  </w:num>
  <w:num w:numId="8">
    <w:abstractNumId w:val="1"/>
  </w:num>
  <w:num w:numId="9">
    <w:abstractNumId w:val="7"/>
  </w:num>
  <w:num w:numId="10">
    <w:abstractNumId w:val="5"/>
  </w:num>
  <w:num w:numId="11">
    <w:abstractNumId w:val="9"/>
  </w:num>
  <w:num w:numId="12">
    <w:abstractNumId w:val="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intFractionalCharacterWidth/>
  <w:embedSystemFonts/>
  <w:mirrorMargins/>
  <w:activeWritingStyle w:appName="MSWord" w:lang="en-GB" w:vendorID="64" w:dllVersion="0" w:nlCheck="1" w:checkStyle="1"/>
  <w:activeWritingStyle w:appName="MSWord" w:lang="en-US" w:vendorID="64" w:dllVersion="0" w:nlCheck="1" w:checkStyle="1"/>
  <w:activeWritingStyle w:appName="MSWord" w:lang="de-DE" w:vendorID="64" w:dllVersion="0" w:nlCheck="1" w:checkStyle="1"/>
  <w:activeWritingStyle w:appName="MSWord" w:lang="fr-FR" w:vendorID="64" w:dllVersion="0" w:nlCheck="1" w:checkStyle="1"/>
  <w:activeWritingStyle w:appName="MSWord" w:lang="es-ES" w:vendorID="64" w:dllVersion="0" w:nlCheck="1" w:checkStyle="1"/>
  <w:activeWritingStyle w:appName="MSWord" w:lang="en-US" w:vendorID="64" w:dllVersion="6" w:nlCheck="1" w:checkStyle="1"/>
  <w:activeWritingStyle w:appName="MSWord" w:lang="da-DK" w:vendorID="64" w:dllVersion="6" w:nlCheck="1" w:checkStyle="0"/>
  <w:activeWritingStyle w:appName="MSWord" w:lang="en-GB" w:vendorID="64" w:dllVersion="6" w:nlCheck="1" w:checkStyle="1"/>
  <w:activeWritingStyle w:appName="MSWord" w:lang="fr-FR" w:vendorID="64" w:dllVersion="6" w:nlCheck="1" w:checkStyle="1"/>
  <w:activeWritingStyle w:appName="MSWord" w:lang="de-DE" w:vendorID="64" w:dllVersion="6"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oNotHyphenateCaps/>
  <w:displayHorizontalDrawingGridEvery w:val="0"/>
  <w:displayVerticalDrawingGridEvery w:val="0"/>
  <w:doNotUseMarginsForDrawingGridOrigin/>
  <w:doNotShadeFormData/>
  <w:noPunctuationKerning/>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D6E6A"/>
    <w:rsid w:val="00006269"/>
    <w:rsid w:val="00006684"/>
    <w:rsid w:val="00007CAB"/>
    <w:rsid w:val="00010715"/>
    <w:rsid w:val="000108E3"/>
    <w:rsid w:val="00010AA3"/>
    <w:rsid w:val="0001162A"/>
    <w:rsid w:val="0001377C"/>
    <w:rsid w:val="0001740C"/>
    <w:rsid w:val="00025EB8"/>
    <w:rsid w:val="000275EB"/>
    <w:rsid w:val="000302E3"/>
    <w:rsid w:val="00030DAC"/>
    <w:rsid w:val="00030F16"/>
    <w:rsid w:val="00030FEB"/>
    <w:rsid w:val="00034673"/>
    <w:rsid w:val="00034F2C"/>
    <w:rsid w:val="000353DF"/>
    <w:rsid w:val="000364E1"/>
    <w:rsid w:val="000366A0"/>
    <w:rsid w:val="000379E0"/>
    <w:rsid w:val="00041532"/>
    <w:rsid w:val="00041BBF"/>
    <w:rsid w:val="000421A8"/>
    <w:rsid w:val="00042645"/>
    <w:rsid w:val="00044105"/>
    <w:rsid w:val="000446D5"/>
    <w:rsid w:val="00047C0D"/>
    <w:rsid w:val="000527C1"/>
    <w:rsid w:val="000529D2"/>
    <w:rsid w:val="00054F8D"/>
    <w:rsid w:val="000576A9"/>
    <w:rsid w:val="000576AB"/>
    <w:rsid w:val="000605F5"/>
    <w:rsid w:val="00061DCB"/>
    <w:rsid w:val="00062709"/>
    <w:rsid w:val="00064FF1"/>
    <w:rsid w:val="00070044"/>
    <w:rsid w:val="00070E39"/>
    <w:rsid w:val="00071575"/>
    <w:rsid w:val="00071F84"/>
    <w:rsid w:val="0007227D"/>
    <w:rsid w:val="00077739"/>
    <w:rsid w:val="00077A95"/>
    <w:rsid w:val="00077DF5"/>
    <w:rsid w:val="000821E2"/>
    <w:rsid w:val="00084019"/>
    <w:rsid w:val="0009116A"/>
    <w:rsid w:val="000931D4"/>
    <w:rsid w:val="00094C4A"/>
    <w:rsid w:val="00095065"/>
    <w:rsid w:val="00095180"/>
    <w:rsid w:val="00096A71"/>
    <w:rsid w:val="00096F3D"/>
    <w:rsid w:val="000A0842"/>
    <w:rsid w:val="000A0C3D"/>
    <w:rsid w:val="000A133D"/>
    <w:rsid w:val="000A2116"/>
    <w:rsid w:val="000A2427"/>
    <w:rsid w:val="000A2B60"/>
    <w:rsid w:val="000A34BE"/>
    <w:rsid w:val="000A41D9"/>
    <w:rsid w:val="000A48FA"/>
    <w:rsid w:val="000A58A9"/>
    <w:rsid w:val="000A6359"/>
    <w:rsid w:val="000A76E3"/>
    <w:rsid w:val="000B394B"/>
    <w:rsid w:val="000B4660"/>
    <w:rsid w:val="000B6138"/>
    <w:rsid w:val="000C1F4E"/>
    <w:rsid w:val="000C21D1"/>
    <w:rsid w:val="000C34BF"/>
    <w:rsid w:val="000C3AC2"/>
    <w:rsid w:val="000C5D1C"/>
    <w:rsid w:val="000C600C"/>
    <w:rsid w:val="000C6279"/>
    <w:rsid w:val="000C7822"/>
    <w:rsid w:val="000D0C56"/>
    <w:rsid w:val="000D1F62"/>
    <w:rsid w:val="000D34AD"/>
    <w:rsid w:val="000D6B41"/>
    <w:rsid w:val="000E4F78"/>
    <w:rsid w:val="000E5213"/>
    <w:rsid w:val="000E7814"/>
    <w:rsid w:val="000F087A"/>
    <w:rsid w:val="000F2936"/>
    <w:rsid w:val="000F4A67"/>
    <w:rsid w:val="000F4CA3"/>
    <w:rsid w:val="000F4FA3"/>
    <w:rsid w:val="000F5420"/>
    <w:rsid w:val="000F7247"/>
    <w:rsid w:val="000F7512"/>
    <w:rsid w:val="00101CB4"/>
    <w:rsid w:val="00103679"/>
    <w:rsid w:val="00110E10"/>
    <w:rsid w:val="00113D47"/>
    <w:rsid w:val="0011416F"/>
    <w:rsid w:val="00114BC8"/>
    <w:rsid w:val="00116FC2"/>
    <w:rsid w:val="001205CB"/>
    <w:rsid w:val="00120A3D"/>
    <w:rsid w:val="001223B3"/>
    <w:rsid w:val="0012246E"/>
    <w:rsid w:val="00125951"/>
    <w:rsid w:val="00126767"/>
    <w:rsid w:val="00126AED"/>
    <w:rsid w:val="00127ADA"/>
    <w:rsid w:val="00127B10"/>
    <w:rsid w:val="001307AB"/>
    <w:rsid w:val="00131B24"/>
    <w:rsid w:val="00134965"/>
    <w:rsid w:val="00135C06"/>
    <w:rsid w:val="00141D9D"/>
    <w:rsid w:val="001429B2"/>
    <w:rsid w:val="0014626B"/>
    <w:rsid w:val="00146E33"/>
    <w:rsid w:val="00155AB9"/>
    <w:rsid w:val="00156A51"/>
    <w:rsid w:val="00157199"/>
    <w:rsid w:val="00157333"/>
    <w:rsid w:val="00164384"/>
    <w:rsid w:val="00166DB5"/>
    <w:rsid w:val="00177166"/>
    <w:rsid w:val="001778E4"/>
    <w:rsid w:val="001831C1"/>
    <w:rsid w:val="00184293"/>
    <w:rsid w:val="00184E10"/>
    <w:rsid w:val="00186468"/>
    <w:rsid w:val="00187783"/>
    <w:rsid w:val="001877F7"/>
    <w:rsid w:val="00192693"/>
    <w:rsid w:val="001928CB"/>
    <w:rsid w:val="00192DC0"/>
    <w:rsid w:val="00193805"/>
    <w:rsid w:val="00193BB1"/>
    <w:rsid w:val="00193EC2"/>
    <w:rsid w:val="00194656"/>
    <w:rsid w:val="00194DDD"/>
    <w:rsid w:val="00196C21"/>
    <w:rsid w:val="001A048B"/>
    <w:rsid w:val="001A0B0B"/>
    <w:rsid w:val="001A0C24"/>
    <w:rsid w:val="001A107F"/>
    <w:rsid w:val="001A2D06"/>
    <w:rsid w:val="001A3143"/>
    <w:rsid w:val="001A31FA"/>
    <w:rsid w:val="001A51BB"/>
    <w:rsid w:val="001A54F9"/>
    <w:rsid w:val="001A66DC"/>
    <w:rsid w:val="001B02A4"/>
    <w:rsid w:val="001B327D"/>
    <w:rsid w:val="001B4EBF"/>
    <w:rsid w:val="001B543B"/>
    <w:rsid w:val="001B5DF1"/>
    <w:rsid w:val="001C3CC7"/>
    <w:rsid w:val="001C4566"/>
    <w:rsid w:val="001C491E"/>
    <w:rsid w:val="001C6426"/>
    <w:rsid w:val="001D09B9"/>
    <w:rsid w:val="001D110C"/>
    <w:rsid w:val="001D2115"/>
    <w:rsid w:val="001D3FFC"/>
    <w:rsid w:val="001D4124"/>
    <w:rsid w:val="001D50B3"/>
    <w:rsid w:val="001D6F8E"/>
    <w:rsid w:val="001D720D"/>
    <w:rsid w:val="001E0B0F"/>
    <w:rsid w:val="001E2C4A"/>
    <w:rsid w:val="001E3266"/>
    <w:rsid w:val="001E633A"/>
    <w:rsid w:val="001F03A0"/>
    <w:rsid w:val="001F05E6"/>
    <w:rsid w:val="001F7B15"/>
    <w:rsid w:val="00200D3A"/>
    <w:rsid w:val="002018E2"/>
    <w:rsid w:val="00202627"/>
    <w:rsid w:val="002027E8"/>
    <w:rsid w:val="00202CE3"/>
    <w:rsid w:val="002129D5"/>
    <w:rsid w:val="00212F8C"/>
    <w:rsid w:val="002145A1"/>
    <w:rsid w:val="00215384"/>
    <w:rsid w:val="00215899"/>
    <w:rsid w:val="00217117"/>
    <w:rsid w:val="00221559"/>
    <w:rsid w:val="00221B56"/>
    <w:rsid w:val="002239A8"/>
    <w:rsid w:val="0022757D"/>
    <w:rsid w:val="00227F92"/>
    <w:rsid w:val="00230C48"/>
    <w:rsid w:val="0023642B"/>
    <w:rsid w:val="00237B6E"/>
    <w:rsid w:val="0024033D"/>
    <w:rsid w:val="002412F9"/>
    <w:rsid w:val="002415F1"/>
    <w:rsid w:val="0024236C"/>
    <w:rsid w:val="00244C96"/>
    <w:rsid w:val="002452E8"/>
    <w:rsid w:val="00246FB8"/>
    <w:rsid w:val="00247324"/>
    <w:rsid w:val="002504E6"/>
    <w:rsid w:val="0025164A"/>
    <w:rsid w:val="0025180B"/>
    <w:rsid w:val="00251F27"/>
    <w:rsid w:val="00254E77"/>
    <w:rsid w:val="002559FD"/>
    <w:rsid w:val="00264DFA"/>
    <w:rsid w:val="00266B31"/>
    <w:rsid w:val="002714F3"/>
    <w:rsid w:val="00273D4D"/>
    <w:rsid w:val="00274710"/>
    <w:rsid w:val="00280F11"/>
    <w:rsid w:val="00284709"/>
    <w:rsid w:val="00284DCC"/>
    <w:rsid w:val="00285B90"/>
    <w:rsid w:val="002863F2"/>
    <w:rsid w:val="00286EC1"/>
    <w:rsid w:val="002933D5"/>
    <w:rsid w:val="00296FCE"/>
    <w:rsid w:val="002A1A81"/>
    <w:rsid w:val="002A3DEC"/>
    <w:rsid w:val="002A5085"/>
    <w:rsid w:val="002A613D"/>
    <w:rsid w:val="002A69C3"/>
    <w:rsid w:val="002B000C"/>
    <w:rsid w:val="002B1C1A"/>
    <w:rsid w:val="002B35E7"/>
    <w:rsid w:val="002B5459"/>
    <w:rsid w:val="002B6569"/>
    <w:rsid w:val="002B7DC6"/>
    <w:rsid w:val="002C007A"/>
    <w:rsid w:val="002C09C5"/>
    <w:rsid w:val="002C1132"/>
    <w:rsid w:val="002C2565"/>
    <w:rsid w:val="002C2D43"/>
    <w:rsid w:val="002C5BA7"/>
    <w:rsid w:val="002C6F84"/>
    <w:rsid w:val="002C79D6"/>
    <w:rsid w:val="002D0022"/>
    <w:rsid w:val="002D24F9"/>
    <w:rsid w:val="002D3D95"/>
    <w:rsid w:val="002D4C1F"/>
    <w:rsid w:val="002D5E58"/>
    <w:rsid w:val="002E763F"/>
    <w:rsid w:val="002F38A1"/>
    <w:rsid w:val="002F67DB"/>
    <w:rsid w:val="00302769"/>
    <w:rsid w:val="00302C8E"/>
    <w:rsid w:val="00302DC4"/>
    <w:rsid w:val="0030554A"/>
    <w:rsid w:val="0030612F"/>
    <w:rsid w:val="00310BF1"/>
    <w:rsid w:val="00310C73"/>
    <w:rsid w:val="00321189"/>
    <w:rsid w:val="00321E1F"/>
    <w:rsid w:val="00322DD8"/>
    <w:rsid w:val="003264F4"/>
    <w:rsid w:val="00326A8C"/>
    <w:rsid w:val="003331B9"/>
    <w:rsid w:val="00337066"/>
    <w:rsid w:val="003415EF"/>
    <w:rsid w:val="003441C2"/>
    <w:rsid w:val="00346FFC"/>
    <w:rsid w:val="00347326"/>
    <w:rsid w:val="00347BC7"/>
    <w:rsid w:val="0035156E"/>
    <w:rsid w:val="00351E10"/>
    <w:rsid w:val="003537A9"/>
    <w:rsid w:val="0035418F"/>
    <w:rsid w:val="003548A7"/>
    <w:rsid w:val="00355947"/>
    <w:rsid w:val="00360423"/>
    <w:rsid w:val="00360ACA"/>
    <w:rsid w:val="0036112B"/>
    <w:rsid w:val="00361287"/>
    <w:rsid w:val="00364474"/>
    <w:rsid w:val="0036554B"/>
    <w:rsid w:val="0036774D"/>
    <w:rsid w:val="00371E0E"/>
    <w:rsid w:val="00372273"/>
    <w:rsid w:val="003739D5"/>
    <w:rsid w:val="00374489"/>
    <w:rsid w:val="0037501D"/>
    <w:rsid w:val="00375E65"/>
    <w:rsid w:val="00376161"/>
    <w:rsid w:val="003802D5"/>
    <w:rsid w:val="00382329"/>
    <w:rsid w:val="00390780"/>
    <w:rsid w:val="0039309E"/>
    <w:rsid w:val="00393654"/>
    <w:rsid w:val="00393AA2"/>
    <w:rsid w:val="00394540"/>
    <w:rsid w:val="003A0527"/>
    <w:rsid w:val="003A0799"/>
    <w:rsid w:val="003A1543"/>
    <w:rsid w:val="003A1985"/>
    <w:rsid w:val="003A61A8"/>
    <w:rsid w:val="003A62B1"/>
    <w:rsid w:val="003A656B"/>
    <w:rsid w:val="003B2438"/>
    <w:rsid w:val="003B2E6B"/>
    <w:rsid w:val="003B3BA3"/>
    <w:rsid w:val="003B6492"/>
    <w:rsid w:val="003B7999"/>
    <w:rsid w:val="003C28BD"/>
    <w:rsid w:val="003C3D08"/>
    <w:rsid w:val="003C4E89"/>
    <w:rsid w:val="003C512C"/>
    <w:rsid w:val="003D1F28"/>
    <w:rsid w:val="003D7E6F"/>
    <w:rsid w:val="003E0A26"/>
    <w:rsid w:val="003E0D42"/>
    <w:rsid w:val="003E0D80"/>
    <w:rsid w:val="003E3FB2"/>
    <w:rsid w:val="003E46D7"/>
    <w:rsid w:val="003E5AA6"/>
    <w:rsid w:val="003E62B5"/>
    <w:rsid w:val="003E64BA"/>
    <w:rsid w:val="003F01F5"/>
    <w:rsid w:val="003F09EF"/>
    <w:rsid w:val="003F5B89"/>
    <w:rsid w:val="003F6E00"/>
    <w:rsid w:val="003F7B66"/>
    <w:rsid w:val="00404F35"/>
    <w:rsid w:val="004060AD"/>
    <w:rsid w:val="004116B7"/>
    <w:rsid w:val="0041608A"/>
    <w:rsid w:val="004214BB"/>
    <w:rsid w:val="00421E17"/>
    <w:rsid w:val="00423329"/>
    <w:rsid w:val="00423949"/>
    <w:rsid w:val="004239B6"/>
    <w:rsid w:val="00423CE7"/>
    <w:rsid w:val="004249E7"/>
    <w:rsid w:val="00424C29"/>
    <w:rsid w:val="00426C6B"/>
    <w:rsid w:val="004276F2"/>
    <w:rsid w:val="0043165C"/>
    <w:rsid w:val="004339A5"/>
    <w:rsid w:val="00433BDE"/>
    <w:rsid w:val="0043562A"/>
    <w:rsid w:val="00435EB5"/>
    <w:rsid w:val="00440B38"/>
    <w:rsid w:val="00442D9D"/>
    <w:rsid w:val="00442FFC"/>
    <w:rsid w:val="00444D4C"/>
    <w:rsid w:val="00446E4D"/>
    <w:rsid w:val="00450C7A"/>
    <w:rsid w:val="0045208F"/>
    <w:rsid w:val="004521EE"/>
    <w:rsid w:val="00452743"/>
    <w:rsid w:val="004562D9"/>
    <w:rsid w:val="00457C25"/>
    <w:rsid w:val="00461A7E"/>
    <w:rsid w:val="00461E22"/>
    <w:rsid w:val="004620B6"/>
    <w:rsid w:val="0046238B"/>
    <w:rsid w:val="00462401"/>
    <w:rsid w:val="00463110"/>
    <w:rsid w:val="00465A89"/>
    <w:rsid w:val="00465A90"/>
    <w:rsid w:val="0046659A"/>
    <w:rsid w:val="00467D69"/>
    <w:rsid w:val="0047043A"/>
    <w:rsid w:val="00474CCF"/>
    <w:rsid w:val="004756CE"/>
    <w:rsid w:val="00482125"/>
    <w:rsid w:val="00482C98"/>
    <w:rsid w:val="00484C9B"/>
    <w:rsid w:val="004855F2"/>
    <w:rsid w:val="00491D73"/>
    <w:rsid w:val="00493768"/>
    <w:rsid w:val="00493A23"/>
    <w:rsid w:val="0049507B"/>
    <w:rsid w:val="0049550F"/>
    <w:rsid w:val="0049581A"/>
    <w:rsid w:val="004A0087"/>
    <w:rsid w:val="004A38ED"/>
    <w:rsid w:val="004A3963"/>
    <w:rsid w:val="004A39EA"/>
    <w:rsid w:val="004A5284"/>
    <w:rsid w:val="004B255E"/>
    <w:rsid w:val="004B29B4"/>
    <w:rsid w:val="004B3815"/>
    <w:rsid w:val="004B3C9D"/>
    <w:rsid w:val="004B59D2"/>
    <w:rsid w:val="004B72B0"/>
    <w:rsid w:val="004B7685"/>
    <w:rsid w:val="004B7796"/>
    <w:rsid w:val="004C284B"/>
    <w:rsid w:val="004C32FC"/>
    <w:rsid w:val="004C484F"/>
    <w:rsid w:val="004C63A9"/>
    <w:rsid w:val="004C6672"/>
    <w:rsid w:val="004C7832"/>
    <w:rsid w:val="004D0E3F"/>
    <w:rsid w:val="004D369B"/>
    <w:rsid w:val="004D3F82"/>
    <w:rsid w:val="004D508C"/>
    <w:rsid w:val="004D50DF"/>
    <w:rsid w:val="004D5C82"/>
    <w:rsid w:val="004D6E6A"/>
    <w:rsid w:val="004D6FA6"/>
    <w:rsid w:val="004E14E1"/>
    <w:rsid w:val="004E1F13"/>
    <w:rsid w:val="004E3D0C"/>
    <w:rsid w:val="004E4546"/>
    <w:rsid w:val="004E5ADA"/>
    <w:rsid w:val="004E63BB"/>
    <w:rsid w:val="004E7518"/>
    <w:rsid w:val="004E7772"/>
    <w:rsid w:val="004F3D3A"/>
    <w:rsid w:val="004F3F62"/>
    <w:rsid w:val="004F796A"/>
    <w:rsid w:val="004F7E90"/>
    <w:rsid w:val="00500F08"/>
    <w:rsid w:val="00501C5D"/>
    <w:rsid w:val="00504E54"/>
    <w:rsid w:val="00505487"/>
    <w:rsid w:val="00505F1A"/>
    <w:rsid w:val="00510595"/>
    <w:rsid w:val="005117CE"/>
    <w:rsid w:val="0051313A"/>
    <w:rsid w:val="00515719"/>
    <w:rsid w:val="00515F34"/>
    <w:rsid w:val="0051632A"/>
    <w:rsid w:val="00517C4E"/>
    <w:rsid w:val="005212F7"/>
    <w:rsid w:val="00522604"/>
    <w:rsid w:val="005274DA"/>
    <w:rsid w:val="00527754"/>
    <w:rsid w:val="00534D44"/>
    <w:rsid w:val="00536492"/>
    <w:rsid w:val="00536BBF"/>
    <w:rsid w:val="00536C37"/>
    <w:rsid w:val="0053705F"/>
    <w:rsid w:val="00544298"/>
    <w:rsid w:val="005513E5"/>
    <w:rsid w:val="005515C8"/>
    <w:rsid w:val="00553E40"/>
    <w:rsid w:val="00554654"/>
    <w:rsid w:val="00556FCE"/>
    <w:rsid w:val="00557D93"/>
    <w:rsid w:val="00560C82"/>
    <w:rsid w:val="00561050"/>
    <w:rsid w:val="00562740"/>
    <w:rsid w:val="00563B4C"/>
    <w:rsid w:val="0056490A"/>
    <w:rsid w:val="0057088D"/>
    <w:rsid w:val="0057159A"/>
    <w:rsid w:val="005715DE"/>
    <w:rsid w:val="0057196A"/>
    <w:rsid w:val="00573032"/>
    <w:rsid w:val="00573C06"/>
    <w:rsid w:val="0057668B"/>
    <w:rsid w:val="00582033"/>
    <w:rsid w:val="00582541"/>
    <w:rsid w:val="00584E12"/>
    <w:rsid w:val="00590795"/>
    <w:rsid w:val="0059121C"/>
    <w:rsid w:val="005946B3"/>
    <w:rsid w:val="005947E9"/>
    <w:rsid w:val="005973B6"/>
    <w:rsid w:val="005A0D4C"/>
    <w:rsid w:val="005A1444"/>
    <w:rsid w:val="005A21D5"/>
    <w:rsid w:val="005A2A33"/>
    <w:rsid w:val="005A5585"/>
    <w:rsid w:val="005B28FA"/>
    <w:rsid w:val="005B3B58"/>
    <w:rsid w:val="005B6491"/>
    <w:rsid w:val="005C2030"/>
    <w:rsid w:val="005C5F8D"/>
    <w:rsid w:val="005D4013"/>
    <w:rsid w:val="005D532A"/>
    <w:rsid w:val="005D784B"/>
    <w:rsid w:val="005E168D"/>
    <w:rsid w:val="005E5B3B"/>
    <w:rsid w:val="005E7A18"/>
    <w:rsid w:val="005F0D02"/>
    <w:rsid w:val="005F197C"/>
    <w:rsid w:val="005F21F3"/>
    <w:rsid w:val="005F2E31"/>
    <w:rsid w:val="005F4F5D"/>
    <w:rsid w:val="005F500D"/>
    <w:rsid w:val="005F6086"/>
    <w:rsid w:val="00600560"/>
    <w:rsid w:val="00601DE6"/>
    <w:rsid w:val="00604EA0"/>
    <w:rsid w:val="00605B5D"/>
    <w:rsid w:val="00605D22"/>
    <w:rsid w:val="006134AA"/>
    <w:rsid w:val="00615D70"/>
    <w:rsid w:val="00617974"/>
    <w:rsid w:val="006212E9"/>
    <w:rsid w:val="00621420"/>
    <w:rsid w:val="00624719"/>
    <w:rsid w:val="00625D8A"/>
    <w:rsid w:val="006268BF"/>
    <w:rsid w:val="00632F05"/>
    <w:rsid w:val="00642A07"/>
    <w:rsid w:val="006430FF"/>
    <w:rsid w:val="00643167"/>
    <w:rsid w:val="0064457D"/>
    <w:rsid w:val="00644E22"/>
    <w:rsid w:val="006465AB"/>
    <w:rsid w:val="006524BC"/>
    <w:rsid w:val="006555DC"/>
    <w:rsid w:val="00656025"/>
    <w:rsid w:val="00657C2C"/>
    <w:rsid w:val="006610B2"/>
    <w:rsid w:val="00661FAA"/>
    <w:rsid w:val="006625EA"/>
    <w:rsid w:val="0066314F"/>
    <w:rsid w:val="00664695"/>
    <w:rsid w:val="0066607A"/>
    <w:rsid w:val="00666837"/>
    <w:rsid w:val="00670F1B"/>
    <w:rsid w:val="00670F56"/>
    <w:rsid w:val="006728CC"/>
    <w:rsid w:val="0067744D"/>
    <w:rsid w:val="0067765E"/>
    <w:rsid w:val="0068014B"/>
    <w:rsid w:val="0068036C"/>
    <w:rsid w:val="006813EB"/>
    <w:rsid w:val="00682438"/>
    <w:rsid w:val="006827E0"/>
    <w:rsid w:val="00682DC4"/>
    <w:rsid w:val="00684A09"/>
    <w:rsid w:val="006870D0"/>
    <w:rsid w:val="00690B19"/>
    <w:rsid w:val="00691334"/>
    <w:rsid w:val="00693EF9"/>
    <w:rsid w:val="00695B81"/>
    <w:rsid w:val="00696941"/>
    <w:rsid w:val="006A1441"/>
    <w:rsid w:val="006A1A10"/>
    <w:rsid w:val="006A2122"/>
    <w:rsid w:val="006A28B7"/>
    <w:rsid w:val="006A5FA6"/>
    <w:rsid w:val="006A6A95"/>
    <w:rsid w:val="006B0A75"/>
    <w:rsid w:val="006B20B8"/>
    <w:rsid w:val="006B58A9"/>
    <w:rsid w:val="006B5C67"/>
    <w:rsid w:val="006B6BC6"/>
    <w:rsid w:val="006C0C71"/>
    <w:rsid w:val="006C18BA"/>
    <w:rsid w:val="006C1BD2"/>
    <w:rsid w:val="006C203B"/>
    <w:rsid w:val="006C43FD"/>
    <w:rsid w:val="006C54D2"/>
    <w:rsid w:val="006C55F3"/>
    <w:rsid w:val="006C6214"/>
    <w:rsid w:val="006D00A2"/>
    <w:rsid w:val="006D1AAA"/>
    <w:rsid w:val="006D1CAC"/>
    <w:rsid w:val="006D48B0"/>
    <w:rsid w:val="006D7B01"/>
    <w:rsid w:val="006E07AE"/>
    <w:rsid w:val="006E7D12"/>
    <w:rsid w:val="006F1EEC"/>
    <w:rsid w:val="006F308D"/>
    <w:rsid w:val="006F42C4"/>
    <w:rsid w:val="006F48F2"/>
    <w:rsid w:val="006F6083"/>
    <w:rsid w:val="006F7C41"/>
    <w:rsid w:val="00700BD8"/>
    <w:rsid w:val="007013ED"/>
    <w:rsid w:val="007026D6"/>
    <w:rsid w:val="00705F15"/>
    <w:rsid w:val="00707F78"/>
    <w:rsid w:val="0071029B"/>
    <w:rsid w:val="0071038F"/>
    <w:rsid w:val="007103C6"/>
    <w:rsid w:val="00710B7D"/>
    <w:rsid w:val="007129C4"/>
    <w:rsid w:val="00712D03"/>
    <w:rsid w:val="0071327E"/>
    <w:rsid w:val="007142DC"/>
    <w:rsid w:val="00714DED"/>
    <w:rsid w:val="00716587"/>
    <w:rsid w:val="00720303"/>
    <w:rsid w:val="0072112C"/>
    <w:rsid w:val="00723C9D"/>
    <w:rsid w:val="00731303"/>
    <w:rsid w:val="00732062"/>
    <w:rsid w:val="00734A2A"/>
    <w:rsid w:val="00735A84"/>
    <w:rsid w:val="007419DF"/>
    <w:rsid w:val="0074555B"/>
    <w:rsid w:val="00745D62"/>
    <w:rsid w:val="00746358"/>
    <w:rsid w:val="007471E9"/>
    <w:rsid w:val="00751396"/>
    <w:rsid w:val="00756FA5"/>
    <w:rsid w:val="00757702"/>
    <w:rsid w:val="00757C86"/>
    <w:rsid w:val="0076155D"/>
    <w:rsid w:val="00763106"/>
    <w:rsid w:val="00763684"/>
    <w:rsid w:val="007636E0"/>
    <w:rsid w:val="007700D2"/>
    <w:rsid w:val="00771A90"/>
    <w:rsid w:val="00772460"/>
    <w:rsid w:val="00772F42"/>
    <w:rsid w:val="00772F7B"/>
    <w:rsid w:val="007736A6"/>
    <w:rsid w:val="00775B7D"/>
    <w:rsid w:val="007760B3"/>
    <w:rsid w:val="00776738"/>
    <w:rsid w:val="007774CF"/>
    <w:rsid w:val="00777F4D"/>
    <w:rsid w:val="00780AC0"/>
    <w:rsid w:val="00784645"/>
    <w:rsid w:val="007848B1"/>
    <w:rsid w:val="00784F1A"/>
    <w:rsid w:val="00785549"/>
    <w:rsid w:val="00786F54"/>
    <w:rsid w:val="007903FD"/>
    <w:rsid w:val="00790DED"/>
    <w:rsid w:val="00792FB4"/>
    <w:rsid w:val="00793197"/>
    <w:rsid w:val="00793873"/>
    <w:rsid w:val="007948F5"/>
    <w:rsid w:val="007949B8"/>
    <w:rsid w:val="00797A4D"/>
    <w:rsid w:val="007A0890"/>
    <w:rsid w:val="007A0962"/>
    <w:rsid w:val="007A1F88"/>
    <w:rsid w:val="007A3545"/>
    <w:rsid w:val="007A44AC"/>
    <w:rsid w:val="007B0645"/>
    <w:rsid w:val="007B0A41"/>
    <w:rsid w:val="007B1331"/>
    <w:rsid w:val="007B1826"/>
    <w:rsid w:val="007B2295"/>
    <w:rsid w:val="007B232E"/>
    <w:rsid w:val="007C0849"/>
    <w:rsid w:val="007C16E2"/>
    <w:rsid w:val="007C1B79"/>
    <w:rsid w:val="007C34CC"/>
    <w:rsid w:val="007C3961"/>
    <w:rsid w:val="007C3AD1"/>
    <w:rsid w:val="007C4C98"/>
    <w:rsid w:val="007C586A"/>
    <w:rsid w:val="007C6BB6"/>
    <w:rsid w:val="007C6DD5"/>
    <w:rsid w:val="007C7EE3"/>
    <w:rsid w:val="007D0515"/>
    <w:rsid w:val="007D15E5"/>
    <w:rsid w:val="007D2085"/>
    <w:rsid w:val="007D46C5"/>
    <w:rsid w:val="007D6F10"/>
    <w:rsid w:val="007D7AB9"/>
    <w:rsid w:val="007E26A9"/>
    <w:rsid w:val="007E6445"/>
    <w:rsid w:val="007E6D35"/>
    <w:rsid w:val="007F0168"/>
    <w:rsid w:val="007F0EA4"/>
    <w:rsid w:val="007F481F"/>
    <w:rsid w:val="007F5F65"/>
    <w:rsid w:val="007F781F"/>
    <w:rsid w:val="007F799C"/>
    <w:rsid w:val="008035F2"/>
    <w:rsid w:val="00804E34"/>
    <w:rsid w:val="0080562F"/>
    <w:rsid w:val="00805FD2"/>
    <w:rsid w:val="008063FB"/>
    <w:rsid w:val="00807982"/>
    <w:rsid w:val="008114E1"/>
    <w:rsid w:val="00813269"/>
    <w:rsid w:val="00813DC5"/>
    <w:rsid w:val="00813FEF"/>
    <w:rsid w:val="008156D7"/>
    <w:rsid w:val="00817D48"/>
    <w:rsid w:val="0082012A"/>
    <w:rsid w:val="00820A26"/>
    <w:rsid w:val="00822F8C"/>
    <w:rsid w:val="00823DDB"/>
    <w:rsid w:val="00823E08"/>
    <w:rsid w:val="00824237"/>
    <w:rsid w:val="00826359"/>
    <w:rsid w:val="00826829"/>
    <w:rsid w:val="008333B0"/>
    <w:rsid w:val="00835426"/>
    <w:rsid w:val="008355C6"/>
    <w:rsid w:val="00836932"/>
    <w:rsid w:val="0084288B"/>
    <w:rsid w:val="008437AF"/>
    <w:rsid w:val="00844DD9"/>
    <w:rsid w:val="00845875"/>
    <w:rsid w:val="00846511"/>
    <w:rsid w:val="0085487E"/>
    <w:rsid w:val="00860FD7"/>
    <w:rsid w:val="00863A54"/>
    <w:rsid w:val="00864269"/>
    <w:rsid w:val="00864810"/>
    <w:rsid w:val="00864B77"/>
    <w:rsid w:val="00864CDE"/>
    <w:rsid w:val="0086725D"/>
    <w:rsid w:val="00867A95"/>
    <w:rsid w:val="00872DC0"/>
    <w:rsid w:val="008818F7"/>
    <w:rsid w:val="00882552"/>
    <w:rsid w:val="00882868"/>
    <w:rsid w:val="008833DF"/>
    <w:rsid w:val="0088549A"/>
    <w:rsid w:val="00887088"/>
    <w:rsid w:val="008871B3"/>
    <w:rsid w:val="00890D80"/>
    <w:rsid w:val="00891553"/>
    <w:rsid w:val="00891785"/>
    <w:rsid w:val="00892833"/>
    <w:rsid w:val="00893F63"/>
    <w:rsid w:val="00894AF5"/>
    <w:rsid w:val="008A0B6D"/>
    <w:rsid w:val="008A12C8"/>
    <w:rsid w:val="008A1A14"/>
    <w:rsid w:val="008A26C9"/>
    <w:rsid w:val="008A2F99"/>
    <w:rsid w:val="008A7674"/>
    <w:rsid w:val="008B0B95"/>
    <w:rsid w:val="008B116C"/>
    <w:rsid w:val="008B27C6"/>
    <w:rsid w:val="008B2F01"/>
    <w:rsid w:val="008B378F"/>
    <w:rsid w:val="008C0016"/>
    <w:rsid w:val="008C11B3"/>
    <w:rsid w:val="008C2738"/>
    <w:rsid w:val="008C288E"/>
    <w:rsid w:val="008C32B2"/>
    <w:rsid w:val="008C3B48"/>
    <w:rsid w:val="008C3B95"/>
    <w:rsid w:val="008C457A"/>
    <w:rsid w:val="008C7645"/>
    <w:rsid w:val="008D0349"/>
    <w:rsid w:val="008D04B5"/>
    <w:rsid w:val="008D1061"/>
    <w:rsid w:val="008D15EC"/>
    <w:rsid w:val="008D3943"/>
    <w:rsid w:val="008D473D"/>
    <w:rsid w:val="008D505D"/>
    <w:rsid w:val="008D55A6"/>
    <w:rsid w:val="008D5659"/>
    <w:rsid w:val="008D7C50"/>
    <w:rsid w:val="008D7F84"/>
    <w:rsid w:val="008E1C66"/>
    <w:rsid w:val="008E2E49"/>
    <w:rsid w:val="008E2F9B"/>
    <w:rsid w:val="008E3F8B"/>
    <w:rsid w:val="008E46F9"/>
    <w:rsid w:val="008F07E2"/>
    <w:rsid w:val="008F0F4C"/>
    <w:rsid w:val="008F191B"/>
    <w:rsid w:val="008F19C4"/>
    <w:rsid w:val="008F2680"/>
    <w:rsid w:val="008F3CFD"/>
    <w:rsid w:val="008F5849"/>
    <w:rsid w:val="009002AD"/>
    <w:rsid w:val="00902220"/>
    <w:rsid w:val="00906B14"/>
    <w:rsid w:val="0091440C"/>
    <w:rsid w:val="00915582"/>
    <w:rsid w:val="00916CFA"/>
    <w:rsid w:val="00917EA3"/>
    <w:rsid w:val="009245AB"/>
    <w:rsid w:val="0092602B"/>
    <w:rsid w:val="0093015A"/>
    <w:rsid w:val="00936043"/>
    <w:rsid w:val="00936FDB"/>
    <w:rsid w:val="0094004F"/>
    <w:rsid w:val="00940ACF"/>
    <w:rsid w:val="00940E9C"/>
    <w:rsid w:val="00941403"/>
    <w:rsid w:val="00942A21"/>
    <w:rsid w:val="009430C4"/>
    <w:rsid w:val="00945332"/>
    <w:rsid w:val="00945FC2"/>
    <w:rsid w:val="00946821"/>
    <w:rsid w:val="009515AF"/>
    <w:rsid w:val="0095189D"/>
    <w:rsid w:val="0095369A"/>
    <w:rsid w:val="009537F7"/>
    <w:rsid w:val="00953C9B"/>
    <w:rsid w:val="0095505D"/>
    <w:rsid w:val="00955472"/>
    <w:rsid w:val="009570E4"/>
    <w:rsid w:val="009577D2"/>
    <w:rsid w:val="0096035E"/>
    <w:rsid w:val="009649FE"/>
    <w:rsid w:val="00965390"/>
    <w:rsid w:val="009660EA"/>
    <w:rsid w:val="00973B38"/>
    <w:rsid w:val="00974EC9"/>
    <w:rsid w:val="00976A90"/>
    <w:rsid w:val="00976E66"/>
    <w:rsid w:val="009811C0"/>
    <w:rsid w:val="00981509"/>
    <w:rsid w:val="00981550"/>
    <w:rsid w:val="00982323"/>
    <w:rsid w:val="009823B3"/>
    <w:rsid w:val="00982891"/>
    <w:rsid w:val="009834BC"/>
    <w:rsid w:val="00984AF4"/>
    <w:rsid w:val="0098743C"/>
    <w:rsid w:val="009876E0"/>
    <w:rsid w:val="00990435"/>
    <w:rsid w:val="00997476"/>
    <w:rsid w:val="009A04B8"/>
    <w:rsid w:val="009A2EAF"/>
    <w:rsid w:val="009A3080"/>
    <w:rsid w:val="009A3455"/>
    <w:rsid w:val="009A399F"/>
    <w:rsid w:val="009A5783"/>
    <w:rsid w:val="009A5A63"/>
    <w:rsid w:val="009B3F24"/>
    <w:rsid w:val="009B4A47"/>
    <w:rsid w:val="009B61F0"/>
    <w:rsid w:val="009C1161"/>
    <w:rsid w:val="009C24D7"/>
    <w:rsid w:val="009C4B63"/>
    <w:rsid w:val="009D29B5"/>
    <w:rsid w:val="009D2BBD"/>
    <w:rsid w:val="009D4537"/>
    <w:rsid w:val="009D6DE9"/>
    <w:rsid w:val="009E2E9E"/>
    <w:rsid w:val="009E397A"/>
    <w:rsid w:val="009E428C"/>
    <w:rsid w:val="009E4346"/>
    <w:rsid w:val="009E6086"/>
    <w:rsid w:val="009E723E"/>
    <w:rsid w:val="009F2459"/>
    <w:rsid w:val="00A009B9"/>
    <w:rsid w:val="00A0681D"/>
    <w:rsid w:val="00A103DF"/>
    <w:rsid w:val="00A10FCB"/>
    <w:rsid w:val="00A121C8"/>
    <w:rsid w:val="00A17757"/>
    <w:rsid w:val="00A20BA1"/>
    <w:rsid w:val="00A21240"/>
    <w:rsid w:val="00A2276B"/>
    <w:rsid w:val="00A241F8"/>
    <w:rsid w:val="00A248A5"/>
    <w:rsid w:val="00A26374"/>
    <w:rsid w:val="00A30C8C"/>
    <w:rsid w:val="00A31C99"/>
    <w:rsid w:val="00A32F20"/>
    <w:rsid w:val="00A333DA"/>
    <w:rsid w:val="00A3406D"/>
    <w:rsid w:val="00A3565A"/>
    <w:rsid w:val="00A369D4"/>
    <w:rsid w:val="00A43BAD"/>
    <w:rsid w:val="00A4541F"/>
    <w:rsid w:val="00A45B8A"/>
    <w:rsid w:val="00A51F76"/>
    <w:rsid w:val="00A52FE7"/>
    <w:rsid w:val="00A5570F"/>
    <w:rsid w:val="00A5677A"/>
    <w:rsid w:val="00A56CCE"/>
    <w:rsid w:val="00A67BFC"/>
    <w:rsid w:val="00A751EF"/>
    <w:rsid w:val="00A768FE"/>
    <w:rsid w:val="00A8092D"/>
    <w:rsid w:val="00A80EB9"/>
    <w:rsid w:val="00A825F8"/>
    <w:rsid w:val="00A84D73"/>
    <w:rsid w:val="00A85E2C"/>
    <w:rsid w:val="00A95A91"/>
    <w:rsid w:val="00A96BB4"/>
    <w:rsid w:val="00AA0BA2"/>
    <w:rsid w:val="00AA14E5"/>
    <w:rsid w:val="00AA24EB"/>
    <w:rsid w:val="00AA356F"/>
    <w:rsid w:val="00AA3764"/>
    <w:rsid w:val="00AA3C83"/>
    <w:rsid w:val="00AA4025"/>
    <w:rsid w:val="00AA4160"/>
    <w:rsid w:val="00AA4614"/>
    <w:rsid w:val="00AB0001"/>
    <w:rsid w:val="00AB29CD"/>
    <w:rsid w:val="00AB790E"/>
    <w:rsid w:val="00AC20DC"/>
    <w:rsid w:val="00AC2B0D"/>
    <w:rsid w:val="00AC4311"/>
    <w:rsid w:val="00AC444E"/>
    <w:rsid w:val="00AC4459"/>
    <w:rsid w:val="00AC64DB"/>
    <w:rsid w:val="00AC6DDD"/>
    <w:rsid w:val="00AC7704"/>
    <w:rsid w:val="00AD0714"/>
    <w:rsid w:val="00AD1035"/>
    <w:rsid w:val="00AD159B"/>
    <w:rsid w:val="00AD2203"/>
    <w:rsid w:val="00AD2CC7"/>
    <w:rsid w:val="00AE13E8"/>
    <w:rsid w:val="00AE339E"/>
    <w:rsid w:val="00AE3492"/>
    <w:rsid w:val="00AE37BB"/>
    <w:rsid w:val="00AE3EC1"/>
    <w:rsid w:val="00AE4913"/>
    <w:rsid w:val="00AE6098"/>
    <w:rsid w:val="00AE6704"/>
    <w:rsid w:val="00AF6668"/>
    <w:rsid w:val="00AF7ABD"/>
    <w:rsid w:val="00B00BED"/>
    <w:rsid w:val="00B02764"/>
    <w:rsid w:val="00B04CB0"/>
    <w:rsid w:val="00B063A9"/>
    <w:rsid w:val="00B10B4C"/>
    <w:rsid w:val="00B14C4E"/>
    <w:rsid w:val="00B15F02"/>
    <w:rsid w:val="00B205E8"/>
    <w:rsid w:val="00B20FC2"/>
    <w:rsid w:val="00B2237A"/>
    <w:rsid w:val="00B2379C"/>
    <w:rsid w:val="00B25CFB"/>
    <w:rsid w:val="00B2709C"/>
    <w:rsid w:val="00B27921"/>
    <w:rsid w:val="00B3172C"/>
    <w:rsid w:val="00B3234A"/>
    <w:rsid w:val="00B3411B"/>
    <w:rsid w:val="00B352F7"/>
    <w:rsid w:val="00B40004"/>
    <w:rsid w:val="00B40351"/>
    <w:rsid w:val="00B405F1"/>
    <w:rsid w:val="00B41C64"/>
    <w:rsid w:val="00B428B3"/>
    <w:rsid w:val="00B42C86"/>
    <w:rsid w:val="00B43167"/>
    <w:rsid w:val="00B443E8"/>
    <w:rsid w:val="00B46CD8"/>
    <w:rsid w:val="00B524A9"/>
    <w:rsid w:val="00B53927"/>
    <w:rsid w:val="00B53D1A"/>
    <w:rsid w:val="00B54FE6"/>
    <w:rsid w:val="00B5596D"/>
    <w:rsid w:val="00B56A7C"/>
    <w:rsid w:val="00B57E05"/>
    <w:rsid w:val="00B61C50"/>
    <w:rsid w:val="00B6235C"/>
    <w:rsid w:val="00B64C06"/>
    <w:rsid w:val="00B64E15"/>
    <w:rsid w:val="00B65589"/>
    <w:rsid w:val="00B668C0"/>
    <w:rsid w:val="00B66C5E"/>
    <w:rsid w:val="00B67A0F"/>
    <w:rsid w:val="00B67EF5"/>
    <w:rsid w:val="00B67FFA"/>
    <w:rsid w:val="00B722C4"/>
    <w:rsid w:val="00B7244E"/>
    <w:rsid w:val="00B74036"/>
    <w:rsid w:val="00B770EF"/>
    <w:rsid w:val="00B7751C"/>
    <w:rsid w:val="00B77EB9"/>
    <w:rsid w:val="00B80230"/>
    <w:rsid w:val="00B84334"/>
    <w:rsid w:val="00B9071F"/>
    <w:rsid w:val="00B90BDB"/>
    <w:rsid w:val="00B91B62"/>
    <w:rsid w:val="00B920E2"/>
    <w:rsid w:val="00B923F2"/>
    <w:rsid w:val="00B95FD6"/>
    <w:rsid w:val="00BA121B"/>
    <w:rsid w:val="00BA170E"/>
    <w:rsid w:val="00BA2914"/>
    <w:rsid w:val="00BA5594"/>
    <w:rsid w:val="00BB215A"/>
    <w:rsid w:val="00BB4B9A"/>
    <w:rsid w:val="00BB6021"/>
    <w:rsid w:val="00BC3A0E"/>
    <w:rsid w:val="00BC5612"/>
    <w:rsid w:val="00BC7937"/>
    <w:rsid w:val="00BD17CA"/>
    <w:rsid w:val="00BD1EFF"/>
    <w:rsid w:val="00BD3210"/>
    <w:rsid w:val="00BD38F0"/>
    <w:rsid w:val="00BD3911"/>
    <w:rsid w:val="00BD3BF4"/>
    <w:rsid w:val="00BD4529"/>
    <w:rsid w:val="00BD4E87"/>
    <w:rsid w:val="00BD76F7"/>
    <w:rsid w:val="00BE2AA3"/>
    <w:rsid w:val="00BE4515"/>
    <w:rsid w:val="00BE4FF9"/>
    <w:rsid w:val="00BE7691"/>
    <w:rsid w:val="00BF140C"/>
    <w:rsid w:val="00BF291A"/>
    <w:rsid w:val="00BF2DCB"/>
    <w:rsid w:val="00BF4B39"/>
    <w:rsid w:val="00BF5C6E"/>
    <w:rsid w:val="00BF61A8"/>
    <w:rsid w:val="00BF6E8B"/>
    <w:rsid w:val="00C06541"/>
    <w:rsid w:val="00C12C99"/>
    <w:rsid w:val="00C15A63"/>
    <w:rsid w:val="00C178F7"/>
    <w:rsid w:val="00C216CD"/>
    <w:rsid w:val="00C22DFF"/>
    <w:rsid w:val="00C22FB7"/>
    <w:rsid w:val="00C2332B"/>
    <w:rsid w:val="00C23704"/>
    <w:rsid w:val="00C25EB4"/>
    <w:rsid w:val="00C31213"/>
    <w:rsid w:val="00C35996"/>
    <w:rsid w:val="00C359F0"/>
    <w:rsid w:val="00C36394"/>
    <w:rsid w:val="00C435B8"/>
    <w:rsid w:val="00C44202"/>
    <w:rsid w:val="00C44F04"/>
    <w:rsid w:val="00C4543E"/>
    <w:rsid w:val="00C456A7"/>
    <w:rsid w:val="00C4669D"/>
    <w:rsid w:val="00C517ED"/>
    <w:rsid w:val="00C523BC"/>
    <w:rsid w:val="00C53633"/>
    <w:rsid w:val="00C54F48"/>
    <w:rsid w:val="00C554D9"/>
    <w:rsid w:val="00C55F22"/>
    <w:rsid w:val="00C561B2"/>
    <w:rsid w:val="00C578A5"/>
    <w:rsid w:val="00C61C3B"/>
    <w:rsid w:val="00C62491"/>
    <w:rsid w:val="00C6580E"/>
    <w:rsid w:val="00C66508"/>
    <w:rsid w:val="00C6725E"/>
    <w:rsid w:val="00C72B82"/>
    <w:rsid w:val="00C73CB3"/>
    <w:rsid w:val="00C768A7"/>
    <w:rsid w:val="00C77258"/>
    <w:rsid w:val="00C81448"/>
    <w:rsid w:val="00C8195F"/>
    <w:rsid w:val="00C81E2C"/>
    <w:rsid w:val="00C823E3"/>
    <w:rsid w:val="00C82CFA"/>
    <w:rsid w:val="00C833FD"/>
    <w:rsid w:val="00C83C7E"/>
    <w:rsid w:val="00C84A03"/>
    <w:rsid w:val="00C8620C"/>
    <w:rsid w:val="00C90958"/>
    <w:rsid w:val="00C91DB6"/>
    <w:rsid w:val="00C95EA6"/>
    <w:rsid w:val="00C96DA2"/>
    <w:rsid w:val="00CA25E9"/>
    <w:rsid w:val="00CA45BB"/>
    <w:rsid w:val="00CA6D16"/>
    <w:rsid w:val="00CA7495"/>
    <w:rsid w:val="00CA7B86"/>
    <w:rsid w:val="00CB12D7"/>
    <w:rsid w:val="00CB276F"/>
    <w:rsid w:val="00CB28EB"/>
    <w:rsid w:val="00CB4092"/>
    <w:rsid w:val="00CB4358"/>
    <w:rsid w:val="00CB674D"/>
    <w:rsid w:val="00CB70AE"/>
    <w:rsid w:val="00CB76C8"/>
    <w:rsid w:val="00CB7E82"/>
    <w:rsid w:val="00CC2069"/>
    <w:rsid w:val="00CC3723"/>
    <w:rsid w:val="00CC5A97"/>
    <w:rsid w:val="00CC7A00"/>
    <w:rsid w:val="00CD0ACD"/>
    <w:rsid w:val="00CD1DA9"/>
    <w:rsid w:val="00CD2BEA"/>
    <w:rsid w:val="00CD6C37"/>
    <w:rsid w:val="00CE0C60"/>
    <w:rsid w:val="00CF1401"/>
    <w:rsid w:val="00CF217F"/>
    <w:rsid w:val="00CF2701"/>
    <w:rsid w:val="00CF4029"/>
    <w:rsid w:val="00CF470A"/>
    <w:rsid w:val="00CF56B3"/>
    <w:rsid w:val="00CF58A3"/>
    <w:rsid w:val="00CF58FD"/>
    <w:rsid w:val="00D01611"/>
    <w:rsid w:val="00D0224F"/>
    <w:rsid w:val="00D031B6"/>
    <w:rsid w:val="00D03351"/>
    <w:rsid w:val="00D07355"/>
    <w:rsid w:val="00D1038D"/>
    <w:rsid w:val="00D11A2C"/>
    <w:rsid w:val="00D12518"/>
    <w:rsid w:val="00D1507B"/>
    <w:rsid w:val="00D16BF4"/>
    <w:rsid w:val="00D230D8"/>
    <w:rsid w:val="00D2683C"/>
    <w:rsid w:val="00D27A99"/>
    <w:rsid w:val="00D27B24"/>
    <w:rsid w:val="00D27B50"/>
    <w:rsid w:val="00D30E9C"/>
    <w:rsid w:val="00D32149"/>
    <w:rsid w:val="00D34D13"/>
    <w:rsid w:val="00D36E2A"/>
    <w:rsid w:val="00D3707D"/>
    <w:rsid w:val="00D40246"/>
    <w:rsid w:val="00D42C5E"/>
    <w:rsid w:val="00D44597"/>
    <w:rsid w:val="00D44931"/>
    <w:rsid w:val="00D50170"/>
    <w:rsid w:val="00D54FC5"/>
    <w:rsid w:val="00D5682D"/>
    <w:rsid w:val="00D614C0"/>
    <w:rsid w:val="00D6350C"/>
    <w:rsid w:val="00D66F7D"/>
    <w:rsid w:val="00D703BF"/>
    <w:rsid w:val="00D7279A"/>
    <w:rsid w:val="00D72D53"/>
    <w:rsid w:val="00D75E5D"/>
    <w:rsid w:val="00D773B8"/>
    <w:rsid w:val="00D80A8F"/>
    <w:rsid w:val="00D823F8"/>
    <w:rsid w:val="00D83174"/>
    <w:rsid w:val="00D83385"/>
    <w:rsid w:val="00D8435B"/>
    <w:rsid w:val="00D84569"/>
    <w:rsid w:val="00D8554B"/>
    <w:rsid w:val="00D906E8"/>
    <w:rsid w:val="00D908DE"/>
    <w:rsid w:val="00D945FA"/>
    <w:rsid w:val="00D9465A"/>
    <w:rsid w:val="00D956BC"/>
    <w:rsid w:val="00D95C2B"/>
    <w:rsid w:val="00D971CE"/>
    <w:rsid w:val="00DA10F0"/>
    <w:rsid w:val="00DA1721"/>
    <w:rsid w:val="00DA3CC4"/>
    <w:rsid w:val="00DA4559"/>
    <w:rsid w:val="00DA469A"/>
    <w:rsid w:val="00DA573B"/>
    <w:rsid w:val="00DA5A21"/>
    <w:rsid w:val="00DB1396"/>
    <w:rsid w:val="00DB3A32"/>
    <w:rsid w:val="00DB58D6"/>
    <w:rsid w:val="00DB62CD"/>
    <w:rsid w:val="00DB74E5"/>
    <w:rsid w:val="00DC02B4"/>
    <w:rsid w:val="00DC0AEB"/>
    <w:rsid w:val="00DC4FCC"/>
    <w:rsid w:val="00DC571F"/>
    <w:rsid w:val="00DC5E77"/>
    <w:rsid w:val="00DC6D42"/>
    <w:rsid w:val="00DC7DFD"/>
    <w:rsid w:val="00DD0490"/>
    <w:rsid w:val="00DD0E4F"/>
    <w:rsid w:val="00DD283B"/>
    <w:rsid w:val="00DD2931"/>
    <w:rsid w:val="00DD3698"/>
    <w:rsid w:val="00DD729B"/>
    <w:rsid w:val="00DD7579"/>
    <w:rsid w:val="00DD75C3"/>
    <w:rsid w:val="00DE0FAC"/>
    <w:rsid w:val="00DE101D"/>
    <w:rsid w:val="00DE2AA7"/>
    <w:rsid w:val="00DE3696"/>
    <w:rsid w:val="00DE4169"/>
    <w:rsid w:val="00DE5921"/>
    <w:rsid w:val="00DE6E45"/>
    <w:rsid w:val="00DEE3A0"/>
    <w:rsid w:val="00DF075A"/>
    <w:rsid w:val="00DF1565"/>
    <w:rsid w:val="00DF28C4"/>
    <w:rsid w:val="00DF39A3"/>
    <w:rsid w:val="00DF3DF1"/>
    <w:rsid w:val="00DF44F2"/>
    <w:rsid w:val="00DF64FB"/>
    <w:rsid w:val="00DF71EE"/>
    <w:rsid w:val="00DF78AD"/>
    <w:rsid w:val="00E00593"/>
    <w:rsid w:val="00E03ED3"/>
    <w:rsid w:val="00E07819"/>
    <w:rsid w:val="00E108B1"/>
    <w:rsid w:val="00E1120F"/>
    <w:rsid w:val="00E21299"/>
    <w:rsid w:val="00E215ED"/>
    <w:rsid w:val="00E2443E"/>
    <w:rsid w:val="00E24D62"/>
    <w:rsid w:val="00E24DEB"/>
    <w:rsid w:val="00E255C4"/>
    <w:rsid w:val="00E3084F"/>
    <w:rsid w:val="00E32D6E"/>
    <w:rsid w:val="00E32FF1"/>
    <w:rsid w:val="00E330F9"/>
    <w:rsid w:val="00E33CB4"/>
    <w:rsid w:val="00E3445C"/>
    <w:rsid w:val="00E377DA"/>
    <w:rsid w:val="00E427A0"/>
    <w:rsid w:val="00E43DAA"/>
    <w:rsid w:val="00E45B6F"/>
    <w:rsid w:val="00E460DA"/>
    <w:rsid w:val="00E472A4"/>
    <w:rsid w:val="00E4761F"/>
    <w:rsid w:val="00E50488"/>
    <w:rsid w:val="00E50C49"/>
    <w:rsid w:val="00E5194C"/>
    <w:rsid w:val="00E52A5F"/>
    <w:rsid w:val="00E57052"/>
    <w:rsid w:val="00E5708A"/>
    <w:rsid w:val="00E614A1"/>
    <w:rsid w:val="00E63662"/>
    <w:rsid w:val="00E656F9"/>
    <w:rsid w:val="00E66032"/>
    <w:rsid w:val="00E668D3"/>
    <w:rsid w:val="00E70E8B"/>
    <w:rsid w:val="00E71C17"/>
    <w:rsid w:val="00E71DCF"/>
    <w:rsid w:val="00E727BC"/>
    <w:rsid w:val="00E7358C"/>
    <w:rsid w:val="00E7497A"/>
    <w:rsid w:val="00E758A3"/>
    <w:rsid w:val="00E77027"/>
    <w:rsid w:val="00E833F5"/>
    <w:rsid w:val="00E83663"/>
    <w:rsid w:val="00E85684"/>
    <w:rsid w:val="00E87153"/>
    <w:rsid w:val="00E90248"/>
    <w:rsid w:val="00E910BB"/>
    <w:rsid w:val="00E91B53"/>
    <w:rsid w:val="00E94C19"/>
    <w:rsid w:val="00E95BA0"/>
    <w:rsid w:val="00E9780C"/>
    <w:rsid w:val="00EA00BF"/>
    <w:rsid w:val="00EA0126"/>
    <w:rsid w:val="00EA1916"/>
    <w:rsid w:val="00EA1B9D"/>
    <w:rsid w:val="00EA2F91"/>
    <w:rsid w:val="00EA6538"/>
    <w:rsid w:val="00EA7B8F"/>
    <w:rsid w:val="00EB1BF0"/>
    <w:rsid w:val="00EB2CD2"/>
    <w:rsid w:val="00EB3D15"/>
    <w:rsid w:val="00EB3F85"/>
    <w:rsid w:val="00EB4A54"/>
    <w:rsid w:val="00EB7438"/>
    <w:rsid w:val="00EB7AEB"/>
    <w:rsid w:val="00EC2059"/>
    <w:rsid w:val="00EC244A"/>
    <w:rsid w:val="00EC2D04"/>
    <w:rsid w:val="00EC3EB7"/>
    <w:rsid w:val="00EC4D90"/>
    <w:rsid w:val="00EC5549"/>
    <w:rsid w:val="00EC683D"/>
    <w:rsid w:val="00EC6ADF"/>
    <w:rsid w:val="00EC7EDB"/>
    <w:rsid w:val="00ED0004"/>
    <w:rsid w:val="00ED274A"/>
    <w:rsid w:val="00ED3D06"/>
    <w:rsid w:val="00ED41EE"/>
    <w:rsid w:val="00ED5DC3"/>
    <w:rsid w:val="00ED5F7B"/>
    <w:rsid w:val="00ED64EA"/>
    <w:rsid w:val="00EE0584"/>
    <w:rsid w:val="00EE08A7"/>
    <w:rsid w:val="00EE2615"/>
    <w:rsid w:val="00EE371F"/>
    <w:rsid w:val="00EE6CFF"/>
    <w:rsid w:val="00EE72C5"/>
    <w:rsid w:val="00EF081A"/>
    <w:rsid w:val="00EF1A21"/>
    <w:rsid w:val="00EF1A99"/>
    <w:rsid w:val="00EF25C5"/>
    <w:rsid w:val="00EF3E86"/>
    <w:rsid w:val="00EF4601"/>
    <w:rsid w:val="00EF49D2"/>
    <w:rsid w:val="00EF5E57"/>
    <w:rsid w:val="00EF617B"/>
    <w:rsid w:val="00F0153A"/>
    <w:rsid w:val="00F01826"/>
    <w:rsid w:val="00F01A11"/>
    <w:rsid w:val="00F01BAF"/>
    <w:rsid w:val="00F07B48"/>
    <w:rsid w:val="00F112A3"/>
    <w:rsid w:val="00F14B01"/>
    <w:rsid w:val="00F15725"/>
    <w:rsid w:val="00F15D83"/>
    <w:rsid w:val="00F17335"/>
    <w:rsid w:val="00F218C9"/>
    <w:rsid w:val="00F21CDD"/>
    <w:rsid w:val="00F2273F"/>
    <w:rsid w:val="00F246D2"/>
    <w:rsid w:val="00F25A4D"/>
    <w:rsid w:val="00F3133B"/>
    <w:rsid w:val="00F31B46"/>
    <w:rsid w:val="00F3270B"/>
    <w:rsid w:val="00F33001"/>
    <w:rsid w:val="00F35BBA"/>
    <w:rsid w:val="00F37C1E"/>
    <w:rsid w:val="00F41176"/>
    <w:rsid w:val="00F4166A"/>
    <w:rsid w:val="00F431DC"/>
    <w:rsid w:val="00F433B6"/>
    <w:rsid w:val="00F44120"/>
    <w:rsid w:val="00F4644A"/>
    <w:rsid w:val="00F526D5"/>
    <w:rsid w:val="00F53C3C"/>
    <w:rsid w:val="00F543ED"/>
    <w:rsid w:val="00F54946"/>
    <w:rsid w:val="00F551B6"/>
    <w:rsid w:val="00F558EF"/>
    <w:rsid w:val="00F56E36"/>
    <w:rsid w:val="00F57DC1"/>
    <w:rsid w:val="00F60651"/>
    <w:rsid w:val="00F6107C"/>
    <w:rsid w:val="00F6147E"/>
    <w:rsid w:val="00F65091"/>
    <w:rsid w:val="00F65DD4"/>
    <w:rsid w:val="00F65FCD"/>
    <w:rsid w:val="00F67AFA"/>
    <w:rsid w:val="00F71513"/>
    <w:rsid w:val="00F726D2"/>
    <w:rsid w:val="00F72835"/>
    <w:rsid w:val="00F730D8"/>
    <w:rsid w:val="00F746BE"/>
    <w:rsid w:val="00F751ED"/>
    <w:rsid w:val="00F76EA5"/>
    <w:rsid w:val="00F77AF1"/>
    <w:rsid w:val="00F80167"/>
    <w:rsid w:val="00F84455"/>
    <w:rsid w:val="00F84C11"/>
    <w:rsid w:val="00F8522C"/>
    <w:rsid w:val="00F8615B"/>
    <w:rsid w:val="00F86D1A"/>
    <w:rsid w:val="00F90D08"/>
    <w:rsid w:val="00F92C53"/>
    <w:rsid w:val="00F93810"/>
    <w:rsid w:val="00F93C8F"/>
    <w:rsid w:val="00F9498C"/>
    <w:rsid w:val="00FA0FDF"/>
    <w:rsid w:val="00FA24BF"/>
    <w:rsid w:val="00FA270A"/>
    <w:rsid w:val="00FA4141"/>
    <w:rsid w:val="00FA7328"/>
    <w:rsid w:val="00FB086F"/>
    <w:rsid w:val="00FB2327"/>
    <w:rsid w:val="00FB46B1"/>
    <w:rsid w:val="00FB5455"/>
    <w:rsid w:val="00FB6010"/>
    <w:rsid w:val="00FB604D"/>
    <w:rsid w:val="00FB752E"/>
    <w:rsid w:val="00FC3B53"/>
    <w:rsid w:val="00FC3E17"/>
    <w:rsid w:val="00FC513A"/>
    <w:rsid w:val="00FC553D"/>
    <w:rsid w:val="00FC5553"/>
    <w:rsid w:val="00FC71E8"/>
    <w:rsid w:val="00FC7CF1"/>
    <w:rsid w:val="00FD09B0"/>
    <w:rsid w:val="00FD53FD"/>
    <w:rsid w:val="00FD6610"/>
    <w:rsid w:val="00FD667A"/>
    <w:rsid w:val="00FD7645"/>
    <w:rsid w:val="00FD7FB6"/>
    <w:rsid w:val="00FE1681"/>
    <w:rsid w:val="00FE5A24"/>
    <w:rsid w:val="00FE5A3B"/>
    <w:rsid w:val="00FE71BC"/>
    <w:rsid w:val="00FF0075"/>
    <w:rsid w:val="00FF06ED"/>
    <w:rsid w:val="00FF1650"/>
    <w:rsid w:val="00FF45BF"/>
    <w:rsid w:val="00FF6835"/>
    <w:rsid w:val="02D19A9B"/>
    <w:rsid w:val="0394F38C"/>
    <w:rsid w:val="075525F6"/>
    <w:rsid w:val="126F20D3"/>
    <w:rsid w:val="15B990B9"/>
    <w:rsid w:val="1AB27D82"/>
    <w:rsid w:val="1CB81CED"/>
    <w:rsid w:val="22CF9D34"/>
    <w:rsid w:val="2AEF4A6A"/>
    <w:rsid w:val="2C84BB5C"/>
    <w:rsid w:val="37583701"/>
    <w:rsid w:val="38616F22"/>
    <w:rsid w:val="3A73173A"/>
    <w:rsid w:val="41E1B8DA"/>
    <w:rsid w:val="476751BF"/>
    <w:rsid w:val="47E45D59"/>
    <w:rsid w:val="48234B8F"/>
    <w:rsid w:val="49506EBA"/>
    <w:rsid w:val="499E48BA"/>
    <w:rsid w:val="4CD35250"/>
    <w:rsid w:val="4E04055F"/>
    <w:rsid w:val="4E613229"/>
    <w:rsid w:val="4EB21F04"/>
    <w:rsid w:val="5079A2BF"/>
    <w:rsid w:val="54487ABF"/>
    <w:rsid w:val="544AE337"/>
    <w:rsid w:val="560CAE2D"/>
    <w:rsid w:val="5A84DE9A"/>
    <w:rsid w:val="5DD0191D"/>
    <w:rsid w:val="5F135561"/>
    <w:rsid w:val="630ED84A"/>
    <w:rsid w:val="68382B92"/>
    <w:rsid w:val="687C59B7"/>
    <w:rsid w:val="6D7A7D26"/>
    <w:rsid w:val="735A0EB4"/>
    <w:rsid w:val="76FC9662"/>
    <w:rsid w:val="783174F8"/>
    <w:rsid w:val="7D84F09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64AE6D43"/>
  <w15:docId w15:val="{FBBC16A6-FE5E-4AAE-9B54-937313883F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w:eastAsia="Times New Roman" w:hAnsi="Times" w:cs="Times New Roman"/>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81550"/>
    <w:pPr>
      <w:jc w:val="both"/>
    </w:pPr>
    <w:rPr>
      <w:rFonts w:ascii="Times New Roman" w:hAnsi="Times New Roman"/>
      <w:sz w:val="24"/>
      <w:lang w:val="en-GB" w:eastAsia="en-US"/>
    </w:rPr>
  </w:style>
  <w:style w:type="paragraph" w:styleId="Overskrift1">
    <w:name w:val="heading 1"/>
    <w:basedOn w:val="Normal"/>
    <w:next w:val="Normal"/>
    <w:link w:val="Overskrift1Tegn"/>
    <w:qFormat/>
    <w:rsid w:val="00F730D8"/>
    <w:pPr>
      <w:keepNext/>
      <w:pageBreakBefore/>
      <w:numPr>
        <w:numId w:val="1"/>
      </w:numPr>
      <w:spacing w:after="120"/>
      <w:outlineLvl w:val="0"/>
    </w:pPr>
    <w:rPr>
      <w:b/>
      <w:caps/>
      <w:kern w:val="28"/>
      <w:sz w:val="28"/>
    </w:rPr>
  </w:style>
  <w:style w:type="paragraph" w:styleId="Overskrift2">
    <w:name w:val="heading 2"/>
    <w:basedOn w:val="Normal"/>
    <w:next w:val="Normal"/>
    <w:link w:val="Overskrift2Tegn"/>
    <w:qFormat/>
    <w:rsid w:val="00186468"/>
    <w:pPr>
      <w:keepNext/>
      <w:numPr>
        <w:ilvl w:val="1"/>
        <w:numId w:val="1"/>
      </w:numPr>
      <w:spacing w:before="240" w:after="120"/>
      <w:outlineLvl w:val="1"/>
    </w:pPr>
    <w:rPr>
      <w:b/>
      <w:sz w:val="28"/>
    </w:rPr>
  </w:style>
  <w:style w:type="paragraph" w:styleId="Overskrift3">
    <w:name w:val="heading 3"/>
    <w:basedOn w:val="Normal"/>
    <w:next w:val="Normal"/>
    <w:link w:val="Overskrift3Tegn"/>
    <w:qFormat/>
    <w:rsid w:val="008156D7"/>
    <w:pPr>
      <w:keepNext/>
      <w:numPr>
        <w:ilvl w:val="2"/>
        <w:numId w:val="1"/>
      </w:numPr>
      <w:spacing w:after="120"/>
      <w:outlineLvl w:val="2"/>
    </w:pPr>
    <w:rPr>
      <w:i/>
      <w:color w:val="FF0000"/>
    </w:rPr>
  </w:style>
  <w:style w:type="paragraph" w:styleId="Overskrift4">
    <w:name w:val="heading 4"/>
    <w:basedOn w:val="Overskrift3"/>
    <w:next w:val="Normal"/>
    <w:link w:val="Overskrift4Tegn"/>
    <w:qFormat/>
    <w:rsid w:val="000C3AC2"/>
    <w:pPr>
      <w:numPr>
        <w:ilvl w:val="3"/>
      </w:numPr>
      <w:spacing w:after="20"/>
      <w:outlineLvl w:val="3"/>
    </w:pPr>
  </w:style>
  <w:style w:type="paragraph" w:styleId="Overskrift5">
    <w:name w:val="heading 5"/>
    <w:aliases w:val="IKKE I BRUK..."/>
    <w:basedOn w:val="Normal"/>
    <w:next w:val="Normal"/>
    <w:link w:val="Overskrift5Tegn"/>
    <w:qFormat/>
    <w:pPr>
      <w:widowControl w:val="0"/>
      <w:outlineLvl w:val="4"/>
    </w:pPr>
    <w:rPr>
      <w:sz w:val="16"/>
    </w:rPr>
  </w:style>
  <w:style w:type="paragraph" w:styleId="Overskrift6">
    <w:name w:val="heading 6"/>
    <w:aliases w:val="IKKE I BRUK.."/>
    <w:basedOn w:val="Normal"/>
    <w:next w:val="Normal"/>
    <w:link w:val="Overskrift6Tegn"/>
    <w:qFormat/>
    <w:pPr>
      <w:widowControl w:val="0"/>
      <w:outlineLvl w:val="5"/>
    </w:pPr>
    <w:rPr>
      <w:sz w:val="16"/>
    </w:rPr>
  </w:style>
  <w:style w:type="paragraph" w:styleId="Overskrift7">
    <w:name w:val="heading 7"/>
    <w:basedOn w:val="Normal"/>
    <w:next w:val="Normal"/>
    <w:link w:val="Overskrift7Tegn"/>
    <w:qFormat/>
    <w:pPr>
      <w:numPr>
        <w:ilvl w:val="6"/>
        <w:numId w:val="2"/>
      </w:numPr>
      <w:spacing w:before="240" w:after="60"/>
      <w:outlineLvl w:val="6"/>
    </w:pPr>
    <w:rPr>
      <w:b/>
    </w:rPr>
  </w:style>
  <w:style w:type="paragraph" w:styleId="Overskrift8">
    <w:name w:val="heading 8"/>
    <w:basedOn w:val="Normal"/>
    <w:next w:val="Normal"/>
    <w:link w:val="Overskrift8Tegn"/>
    <w:qFormat/>
    <w:pPr>
      <w:numPr>
        <w:ilvl w:val="7"/>
        <w:numId w:val="3"/>
      </w:numPr>
      <w:spacing w:before="240" w:after="60"/>
      <w:outlineLvl w:val="7"/>
    </w:pPr>
    <w:rPr>
      <w:b/>
    </w:rPr>
  </w:style>
  <w:style w:type="paragraph" w:styleId="Overskrift9">
    <w:name w:val="heading 9"/>
    <w:basedOn w:val="Normal"/>
    <w:next w:val="Normal"/>
    <w:link w:val="Overskrift9Tegn"/>
    <w:qFormat/>
    <w:pPr>
      <w:numPr>
        <w:ilvl w:val="8"/>
        <w:numId w:val="4"/>
      </w:numPr>
      <w:spacing w:before="240" w:after="60"/>
      <w:outlineLvl w:val="8"/>
    </w:pPr>
    <w:rPr>
      <w:b/>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customStyle="1" w:styleId="NormalRapport">
    <w:name w:val="NormalRapport"/>
    <w:basedOn w:val="Normal"/>
    <w:pPr>
      <w:spacing w:line="320" w:lineRule="atLeast"/>
    </w:pPr>
  </w:style>
  <w:style w:type="paragraph" w:styleId="Sidefod">
    <w:name w:val="footer"/>
    <w:basedOn w:val="Normal"/>
    <w:link w:val="SidefodTegn"/>
    <w:uiPriority w:val="99"/>
    <w:pPr>
      <w:tabs>
        <w:tab w:val="center" w:pos="4153"/>
        <w:tab w:val="right" w:pos="8306"/>
      </w:tabs>
    </w:pPr>
    <w:rPr>
      <w:rFonts w:ascii="Arial" w:hAnsi="Arial"/>
      <w:sz w:val="16"/>
    </w:rPr>
  </w:style>
  <w:style w:type="paragraph" w:styleId="Sidehoved">
    <w:name w:val="header"/>
    <w:basedOn w:val="Normal"/>
    <w:link w:val="SidehovedTegn"/>
    <w:uiPriority w:val="99"/>
    <w:pPr>
      <w:tabs>
        <w:tab w:val="center" w:pos="4153"/>
        <w:tab w:val="right" w:pos="8306"/>
      </w:tabs>
    </w:pPr>
  </w:style>
  <w:style w:type="paragraph" w:styleId="Normalindrykning">
    <w:name w:val="Normal Indent"/>
    <w:basedOn w:val="Normal"/>
    <w:pPr>
      <w:ind w:left="708"/>
    </w:pPr>
  </w:style>
  <w:style w:type="paragraph" w:customStyle="1" w:styleId="NormalBold">
    <w:name w:val="Normal Bold"/>
    <w:basedOn w:val="Normal"/>
    <w:rPr>
      <w:b/>
    </w:rPr>
  </w:style>
  <w:style w:type="paragraph" w:customStyle="1" w:styleId="Normaluthevet">
    <w:name w:val="Normal uthevet"/>
    <w:basedOn w:val="Normal"/>
    <w:rPr>
      <w:b/>
    </w:rPr>
  </w:style>
  <w:style w:type="paragraph" w:customStyle="1" w:styleId="xkaLedetekst">
    <w:name w:val="xkaLedetekst"/>
    <w:pPr>
      <w:spacing w:before="20" w:after="60"/>
      <w:ind w:left="57"/>
    </w:pPr>
    <w:rPr>
      <w:rFonts w:ascii="Helvetica" w:hAnsi="Helvetica"/>
      <w:noProof/>
      <w:sz w:val="14"/>
      <w:lang w:val="en-US" w:eastAsia="en-US"/>
    </w:rPr>
  </w:style>
  <w:style w:type="paragraph" w:customStyle="1" w:styleId="xkaSkjemaTittel">
    <w:name w:val="xkaSkjemaTittel"/>
    <w:next w:val="Normal"/>
    <w:rPr>
      <w:rFonts w:ascii="Helvetica" w:hAnsi="Helvetica"/>
      <w:b/>
      <w:noProof/>
      <w:sz w:val="44"/>
      <w:lang w:val="en-US" w:eastAsia="en-US"/>
    </w:rPr>
  </w:style>
  <w:style w:type="paragraph" w:customStyle="1" w:styleId="xkaSkjemaTekst">
    <w:name w:val="xkaSkjemaTekst"/>
    <w:basedOn w:val="Normal"/>
    <w:uiPriority w:val="99"/>
    <w:pPr>
      <w:ind w:left="57"/>
    </w:pPr>
    <w:rPr>
      <w:noProof/>
    </w:rPr>
  </w:style>
  <w:style w:type="paragraph" w:customStyle="1" w:styleId="xkaSkjemaTekstBold">
    <w:name w:val="xkaSkjemaTekstBold"/>
    <w:basedOn w:val="xkaSkjemaTekst"/>
    <w:rPr>
      <w:b/>
    </w:rPr>
  </w:style>
  <w:style w:type="character" w:styleId="Fodnotehenvisning">
    <w:name w:val="footnote reference"/>
    <w:basedOn w:val="Standardskrifttypeiafsnit"/>
    <w:uiPriority w:val="99"/>
    <w:semiHidden/>
    <w:rPr>
      <w:vertAlign w:val="superscript"/>
    </w:rPr>
  </w:style>
  <w:style w:type="paragraph" w:styleId="Fodnotetekst">
    <w:name w:val="footnote text"/>
    <w:basedOn w:val="Normal"/>
    <w:link w:val="FodnotetekstTegn"/>
    <w:uiPriority w:val="99"/>
    <w:semiHidden/>
    <w:rPr>
      <w:sz w:val="20"/>
    </w:rPr>
  </w:style>
  <w:style w:type="paragraph" w:customStyle="1" w:styleId="xxvedlegg">
    <w:name w:val="xxvedlegg"/>
    <w:basedOn w:val="Normal"/>
    <w:next w:val="Normal"/>
    <w:rPr>
      <w:b/>
      <w:sz w:val="28"/>
    </w:rPr>
  </w:style>
  <w:style w:type="paragraph" w:customStyle="1" w:styleId="Ledetekst">
    <w:name w:val="Ledetekst"/>
    <w:basedOn w:val="Normal"/>
    <w:next w:val="Normal"/>
    <w:pPr>
      <w:spacing w:before="40" w:after="120"/>
    </w:pPr>
    <w:rPr>
      <w:rFonts w:ascii="Arial" w:hAnsi="Arial"/>
      <w:caps/>
      <w:sz w:val="14"/>
    </w:rPr>
  </w:style>
  <w:style w:type="paragraph" w:customStyle="1" w:styleId="NormalTabell">
    <w:name w:val="NormalTabell"/>
    <w:basedOn w:val="Normal"/>
  </w:style>
  <w:style w:type="paragraph" w:customStyle="1" w:styleId="TOCOverskrift">
    <w:name w:val="TOCOverskrift"/>
    <w:basedOn w:val="Normal"/>
    <w:pPr>
      <w:jc w:val="center"/>
    </w:pPr>
    <w:rPr>
      <w:caps/>
      <w:sz w:val="28"/>
    </w:rPr>
  </w:style>
  <w:style w:type="paragraph" w:customStyle="1" w:styleId="TOCSideNr">
    <w:name w:val="TOCSideNr"/>
    <w:basedOn w:val="Normal"/>
    <w:pPr>
      <w:tabs>
        <w:tab w:val="right" w:pos="9356"/>
      </w:tabs>
    </w:pPr>
    <w:rPr>
      <w:u w:val="single"/>
    </w:rPr>
  </w:style>
  <w:style w:type="paragraph" w:styleId="Indholdsfortegnelse1">
    <w:name w:val="toc 1"/>
    <w:basedOn w:val="Normal"/>
    <w:next w:val="Normal"/>
    <w:uiPriority w:val="39"/>
    <w:pPr>
      <w:tabs>
        <w:tab w:val="left" w:pos="480"/>
        <w:tab w:val="right" w:leader="dot" w:pos="9356"/>
      </w:tabs>
      <w:spacing w:before="120"/>
      <w:ind w:left="482" w:right="536" w:hanging="482"/>
    </w:pPr>
    <w:rPr>
      <w:caps/>
      <w:noProof/>
      <w:szCs w:val="28"/>
      <w:lang w:val="nb-NO"/>
    </w:rPr>
  </w:style>
  <w:style w:type="paragraph" w:styleId="Indholdsfortegnelse2">
    <w:name w:val="toc 2"/>
    <w:basedOn w:val="Normal"/>
    <w:next w:val="Normal"/>
    <w:uiPriority w:val="39"/>
    <w:pPr>
      <w:tabs>
        <w:tab w:val="left" w:pos="1134"/>
        <w:tab w:val="right" w:leader="dot" w:pos="9356"/>
      </w:tabs>
      <w:ind w:left="1134" w:right="536" w:hanging="652"/>
    </w:pPr>
    <w:rPr>
      <w:noProof/>
      <w:szCs w:val="24"/>
      <w:lang w:val="nb-NO"/>
    </w:rPr>
  </w:style>
  <w:style w:type="paragraph" w:styleId="Indholdsfortegnelse3">
    <w:name w:val="toc 3"/>
    <w:basedOn w:val="Normal"/>
    <w:next w:val="Normal"/>
    <w:uiPriority w:val="39"/>
    <w:pPr>
      <w:tabs>
        <w:tab w:val="left" w:pos="1843"/>
        <w:tab w:val="right" w:leader="dot" w:pos="9356"/>
      </w:tabs>
      <w:ind w:left="1843" w:right="536" w:hanging="709"/>
    </w:pPr>
    <w:rPr>
      <w:noProof/>
      <w:szCs w:val="24"/>
      <w:lang w:val="nb-NO"/>
    </w:rPr>
  </w:style>
  <w:style w:type="paragraph" w:customStyle="1" w:styleId="Title1">
    <w:name w:val="Title1"/>
    <w:basedOn w:val="Normal"/>
    <w:next w:val="Normal"/>
    <w:link w:val="Title1Char"/>
    <w:pPr>
      <w:tabs>
        <w:tab w:val="left" w:pos="851"/>
      </w:tabs>
      <w:spacing w:before="120" w:after="40"/>
    </w:pPr>
    <w:rPr>
      <w:rFonts w:ascii="Arial" w:hAnsi="Arial" w:cs="Arial"/>
      <w:caps/>
      <w:sz w:val="12"/>
    </w:rPr>
  </w:style>
  <w:style w:type="character" w:styleId="Sidetal">
    <w:name w:val="page number"/>
    <w:basedOn w:val="Standardskrifttypeiafsnit"/>
    <w:uiPriority w:val="99"/>
  </w:style>
  <w:style w:type="paragraph" w:styleId="Dokumentoversigt">
    <w:name w:val="Document Map"/>
    <w:basedOn w:val="Normal"/>
    <w:link w:val="DokumentoversigtTegn"/>
    <w:semiHidden/>
    <w:rsid w:val="009A3455"/>
    <w:pPr>
      <w:shd w:val="clear" w:color="auto" w:fill="000080"/>
    </w:pPr>
    <w:rPr>
      <w:rFonts w:ascii="Tahoma" w:hAnsi="Tahoma" w:cs="Tahoma"/>
      <w:sz w:val="20"/>
    </w:rPr>
  </w:style>
  <w:style w:type="paragraph" w:styleId="Billedtekst">
    <w:name w:val="caption"/>
    <w:aliases w:val=" Char"/>
    <w:basedOn w:val="Normal"/>
    <w:next w:val="Normal"/>
    <w:link w:val="BilledtekstTegn"/>
    <w:uiPriority w:val="35"/>
    <w:qFormat/>
    <w:rsid w:val="00CC2069"/>
    <w:pPr>
      <w:tabs>
        <w:tab w:val="left" w:pos="1134"/>
      </w:tabs>
      <w:spacing w:after="120"/>
      <w:ind w:left="1134" w:hanging="1134"/>
    </w:pPr>
    <w:rPr>
      <w:bCs/>
    </w:rPr>
  </w:style>
  <w:style w:type="character" w:customStyle="1" w:styleId="BilledtekstTegn">
    <w:name w:val="Billedtekst Tegn"/>
    <w:aliases w:val=" Char Tegn"/>
    <w:basedOn w:val="Standardskrifttypeiafsnit"/>
    <w:link w:val="Billedtekst"/>
    <w:rsid w:val="00556FCE"/>
    <w:rPr>
      <w:bCs/>
      <w:sz w:val="24"/>
      <w:lang w:val="en-US" w:eastAsia="en-US" w:bidi="ar-SA"/>
    </w:rPr>
  </w:style>
  <w:style w:type="table" w:styleId="Tabel-Gitter">
    <w:name w:val="Table Grid"/>
    <w:basedOn w:val="Tabel-Normal"/>
    <w:uiPriority w:val="39"/>
    <w:rsid w:val="00F21C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rdtekst">
    <w:name w:val="Body Text"/>
    <w:basedOn w:val="Normal"/>
    <w:link w:val="BrdtekstTegn"/>
    <w:rsid w:val="007F0EA4"/>
    <w:pPr>
      <w:spacing w:after="120"/>
    </w:pPr>
    <w:rPr>
      <w:rFonts w:ascii="Times" w:hAnsi="Times"/>
    </w:rPr>
  </w:style>
  <w:style w:type="paragraph" w:customStyle="1" w:styleId="tablespaced">
    <w:name w:val="table spaced"/>
    <w:basedOn w:val="Normal"/>
    <w:rsid w:val="007F0EA4"/>
    <w:pPr>
      <w:keepLines/>
      <w:widowControl w:val="0"/>
      <w:autoSpaceDE w:val="0"/>
      <w:autoSpaceDN w:val="0"/>
      <w:spacing w:before="120"/>
    </w:pPr>
    <w:rPr>
      <w:sz w:val="20"/>
      <w:lang w:val="en-AU"/>
    </w:rPr>
  </w:style>
  <w:style w:type="character" w:styleId="Hyperlink">
    <w:name w:val="Hyperlink"/>
    <w:basedOn w:val="Standardskrifttypeiafsnit"/>
    <w:uiPriority w:val="99"/>
    <w:rsid w:val="00AA24EB"/>
    <w:rPr>
      <w:color w:val="0000FF"/>
      <w:u w:val="single"/>
    </w:rPr>
  </w:style>
  <w:style w:type="character" w:styleId="BesgtLink">
    <w:name w:val="FollowedHyperlink"/>
    <w:basedOn w:val="Standardskrifttypeiafsnit"/>
    <w:rsid w:val="001C4566"/>
    <w:rPr>
      <w:color w:val="800080"/>
      <w:u w:val="single"/>
    </w:rPr>
  </w:style>
  <w:style w:type="paragraph" w:styleId="NormalWeb">
    <w:name w:val="Normal (Web)"/>
    <w:basedOn w:val="Normal"/>
    <w:uiPriority w:val="99"/>
    <w:rsid w:val="00393AA2"/>
    <w:pPr>
      <w:spacing w:before="100" w:beforeAutospacing="1" w:after="100" w:afterAutospacing="1"/>
    </w:pPr>
    <w:rPr>
      <w:szCs w:val="24"/>
    </w:rPr>
  </w:style>
  <w:style w:type="paragraph" w:styleId="Markeringsbobletekst">
    <w:name w:val="Balloon Text"/>
    <w:basedOn w:val="Normal"/>
    <w:link w:val="MarkeringsbobletekstTegn"/>
    <w:semiHidden/>
    <w:rsid w:val="007A0962"/>
    <w:rPr>
      <w:rFonts w:ascii="Tahoma" w:hAnsi="Tahoma" w:cs="Tahoma"/>
      <w:sz w:val="16"/>
      <w:szCs w:val="16"/>
    </w:rPr>
  </w:style>
  <w:style w:type="paragraph" w:customStyle="1" w:styleId="Body">
    <w:name w:val="Body"/>
    <w:basedOn w:val="Normal"/>
    <w:rsid w:val="00556FCE"/>
    <w:pPr>
      <w:spacing w:line="260" w:lineRule="atLeast"/>
    </w:pPr>
    <w:rPr>
      <w:sz w:val="21"/>
    </w:rPr>
  </w:style>
  <w:style w:type="paragraph" w:customStyle="1" w:styleId="Instituutsnaam">
    <w:name w:val="Instituutsnaam"/>
    <w:basedOn w:val="Normal"/>
    <w:next w:val="Instituutsnaamitalic"/>
    <w:rsid w:val="00556FCE"/>
    <w:pPr>
      <w:spacing w:line="260" w:lineRule="atLeast"/>
    </w:pPr>
    <w:rPr>
      <w:b/>
    </w:rPr>
  </w:style>
  <w:style w:type="paragraph" w:customStyle="1" w:styleId="Instituutsnaamitalic">
    <w:name w:val="Instituutsnaam italic"/>
    <w:basedOn w:val="Normal"/>
    <w:next w:val="Normal"/>
    <w:rsid w:val="00556FCE"/>
    <w:pPr>
      <w:spacing w:line="260" w:lineRule="atLeast"/>
    </w:pPr>
    <w:rPr>
      <w:i/>
    </w:rPr>
  </w:style>
  <w:style w:type="character" w:customStyle="1" w:styleId="Documentsoort">
    <w:name w:val="Documentsoort"/>
    <w:basedOn w:val="Standardskrifttypeiafsnit"/>
    <w:rsid w:val="00556FCE"/>
    <w:rPr>
      <w:b/>
    </w:rPr>
  </w:style>
  <w:style w:type="paragraph" w:customStyle="1" w:styleId="Rubricering">
    <w:name w:val="Rubricering"/>
    <w:basedOn w:val="Normal"/>
    <w:next w:val="Normal"/>
    <w:rsid w:val="00556FCE"/>
    <w:pPr>
      <w:suppressAutoHyphens/>
      <w:spacing w:line="260" w:lineRule="atLeast"/>
    </w:pPr>
    <w:rPr>
      <w:rFonts w:ascii="Arial" w:hAnsi="Arial"/>
      <w:b/>
      <w:caps/>
      <w:noProof/>
      <w:sz w:val="17"/>
    </w:rPr>
  </w:style>
  <w:style w:type="paragraph" w:customStyle="1" w:styleId="Algemenevoorwaarden">
    <w:name w:val="Algemene voorwaarden"/>
    <w:basedOn w:val="Normal"/>
    <w:next w:val="Normal"/>
    <w:rsid w:val="00556FCE"/>
    <w:pPr>
      <w:spacing w:line="160" w:lineRule="exact"/>
    </w:pPr>
    <w:rPr>
      <w:sz w:val="13"/>
    </w:rPr>
  </w:style>
  <w:style w:type="paragraph" w:customStyle="1" w:styleId="TNO-naam">
    <w:name w:val="TNO-naam"/>
    <w:basedOn w:val="Normal"/>
    <w:next w:val="Normal"/>
    <w:rsid w:val="00556FCE"/>
    <w:pPr>
      <w:widowControl w:val="0"/>
      <w:suppressAutoHyphens/>
      <w:spacing w:line="160" w:lineRule="exact"/>
    </w:pPr>
    <w:rPr>
      <w:vanish/>
      <w:sz w:val="13"/>
    </w:rPr>
  </w:style>
  <w:style w:type="paragraph" w:customStyle="1" w:styleId="Status">
    <w:name w:val="Status"/>
    <w:basedOn w:val="Normal"/>
    <w:next w:val="Normal"/>
    <w:rsid w:val="00556FCE"/>
    <w:pPr>
      <w:suppressAutoHyphens/>
      <w:spacing w:line="260" w:lineRule="atLeast"/>
    </w:pPr>
    <w:rPr>
      <w:color w:val="C0C0C0"/>
      <w:sz w:val="140"/>
    </w:rPr>
  </w:style>
  <w:style w:type="paragraph" w:customStyle="1" w:styleId="Contents">
    <w:name w:val="Contents"/>
    <w:basedOn w:val="Body"/>
    <w:next w:val="Body"/>
    <w:rsid w:val="00556FCE"/>
    <w:pPr>
      <w:spacing w:line="360" w:lineRule="exact"/>
    </w:pPr>
    <w:rPr>
      <w:sz w:val="32"/>
    </w:rPr>
  </w:style>
  <w:style w:type="paragraph" w:customStyle="1" w:styleId="Kopparagraaf">
    <w:name w:val="Kop paragraaf"/>
    <w:basedOn w:val="Normal"/>
    <w:rsid w:val="00556FCE"/>
    <w:pPr>
      <w:suppressAutoHyphens/>
      <w:spacing w:line="260" w:lineRule="atLeast"/>
    </w:pPr>
    <w:rPr>
      <w:b/>
      <w:sz w:val="21"/>
    </w:rPr>
  </w:style>
  <w:style w:type="paragraph" w:customStyle="1" w:styleId="Arial85pt">
    <w:name w:val="Arial 8.5 pt"/>
    <w:basedOn w:val="Normal"/>
    <w:rsid w:val="00556FCE"/>
    <w:pPr>
      <w:suppressAutoHyphens/>
      <w:spacing w:line="280" w:lineRule="atLeast"/>
    </w:pPr>
    <w:rPr>
      <w:rFonts w:ascii="Arial" w:hAnsi="Arial"/>
      <w:sz w:val="17"/>
    </w:rPr>
  </w:style>
  <w:style w:type="paragraph" w:styleId="Indholdsfortegnelse8">
    <w:name w:val="toc 8"/>
    <w:basedOn w:val="Normal"/>
    <w:next w:val="Normal"/>
    <w:autoRedefine/>
    <w:semiHidden/>
    <w:rsid w:val="00556FCE"/>
    <w:pPr>
      <w:tabs>
        <w:tab w:val="num" w:pos="360"/>
        <w:tab w:val="right" w:pos="6634"/>
      </w:tabs>
      <w:spacing w:line="280" w:lineRule="atLeast"/>
    </w:pPr>
    <w:rPr>
      <w:sz w:val="20"/>
    </w:rPr>
  </w:style>
  <w:style w:type="paragraph" w:customStyle="1" w:styleId="Rapportinfo">
    <w:name w:val="Rapportinfo"/>
    <w:basedOn w:val="Normal"/>
    <w:rsid w:val="00556FCE"/>
    <w:pPr>
      <w:spacing w:line="210" w:lineRule="exact"/>
    </w:pPr>
    <w:rPr>
      <w:noProof/>
      <w:sz w:val="17"/>
    </w:rPr>
  </w:style>
  <w:style w:type="paragraph" w:customStyle="1" w:styleId="Rapporttitel">
    <w:name w:val="Rapporttitel"/>
    <w:basedOn w:val="Normal"/>
    <w:rsid w:val="00556FCE"/>
    <w:pPr>
      <w:widowControl w:val="0"/>
      <w:suppressAutoHyphens/>
      <w:spacing w:line="340" w:lineRule="atLeast"/>
    </w:pPr>
    <w:rPr>
      <w:sz w:val="28"/>
    </w:rPr>
  </w:style>
  <w:style w:type="paragraph" w:customStyle="1" w:styleId="CaptionFiguur">
    <w:name w:val="CaptionFiguur"/>
    <w:basedOn w:val="Billedtekst"/>
    <w:next w:val="Normal"/>
    <w:link w:val="CaptionFiguurChar"/>
    <w:rsid w:val="00556FCE"/>
    <w:pPr>
      <w:tabs>
        <w:tab w:val="clear" w:pos="1134"/>
      </w:tabs>
      <w:spacing w:before="260" w:after="260" w:line="210" w:lineRule="exact"/>
      <w:ind w:left="777" w:hanging="777"/>
    </w:pPr>
    <w:rPr>
      <w:i/>
      <w:sz w:val="17"/>
    </w:rPr>
  </w:style>
  <w:style w:type="character" w:customStyle="1" w:styleId="CaptionFiguurChar">
    <w:name w:val="CaptionFiguur Char"/>
    <w:basedOn w:val="BilledtekstTegn"/>
    <w:link w:val="CaptionFiguur"/>
    <w:rsid w:val="00556FCE"/>
    <w:rPr>
      <w:bCs/>
      <w:i/>
      <w:sz w:val="17"/>
      <w:lang w:val="en-US" w:eastAsia="en-US" w:bidi="ar-SA"/>
    </w:rPr>
  </w:style>
  <w:style w:type="paragraph" w:customStyle="1" w:styleId="CaptionVergelijking">
    <w:name w:val="CaptionVergelijking"/>
    <w:basedOn w:val="Normal"/>
    <w:next w:val="Normal"/>
    <w:rsid w:val="00556FCE"/>
    <w:pPr>
      <w:tabs>
        <w:tab w:val="right" w:pos="7371"/>
      </w:tabs>
      <w:spacing w:before="140" w:after="140" w:line="280" w:lineRule="atLeast"/>
    </w:pPr>
    <w:rPr>
      <w:sz w:val="21"/>
    </w:rPr>
  </w:style>
  <w:style w:type="paragraph" w:customStyle="1" w:styleId="RDPtext">
    <w:name w:val="RDP text"/>
    <w:basedOn w:val="Normal"/>
    <w:rsid w:val="00556FCE"/>
    <w:pPr>
      <w:framePr w:hSpace="187" w:wrap="notBeside" w:vAnchor="page" w:hAnchor="page" w:x="1927" w:y="3169"/>
      <w:tabs>
        <w:tab w:val="left" w:pos="432"/>
      </w:tabs>
      <w:spacing w:before="20" w:after="20"/>
    </w:pPr>
    <w:rPr>
      <w:sz w:val="20"/>
    </w:rPr>
  </w:style>
  <w:style w:type="paragraph" w:customStyle="1" w:styleId="RDPtexthead">
    <w:name w:val="RDP texthead"/>
    <w:basedOn w:val="RDPtext"/>
    <w:rsid w:val="00556FCE"/>
    <w:pPr>
      <w:framePr w:wrap="notBeside"/>
    </w:pPr>
    <w:rPr>
      <w:rFonts w:ascii="Arial" w:hAnsi="Arial"/>
      <w:b/>
      <w:smallCaps/>
      <w:sz w:val="18"/>
    </w:rPr>
  </w:style>
  <w:style w:type="paragraph" w:customStyle="1" w:styleId="Bodybold">
    <w:name w:val="Body bold"/>
    <w:basedOn w:val="Body"/>
    <w:next w:val="Body"/>
    <w:rsid w:val="00556FCE"/>
    <w:rPr>
      <w:b/>
    </w:rPr>
  </w:style>
  <w:style w:type="paragraph" w:customStyle="1" w:styleId="Kop">
    <w:name w:val="Kop"/>
    <w:basedOn w:val="Normal"/>
    <w:next w:val="Body"/>
    <w:rsid w:val="00556FCE"/>
    <w:pPr>
      <w:suppressAutoHyphens/>
      <w:spacing w:after="520" w:line="340" w:lineRule="atLeast"/>
    </w:pPr>
    <w:rPr>
      <w:b/>
      <w:sz w:val="32"/>
    </w:rPr>
  </w:style>
  <w:style w:type="paragraph" w:customStyle="1" w:styleId="Bodyitalic">
    <w:name w:val="Body italic"/>
    <w:basedOn w:val="Body"/>
    <w:next w:val="Body"/>
    <w:rsid w:val="00556FCE"/>
    <w:rPr>
      <w:i/>
    </w:rPr>
  </w:style>
  <w:style w:type="paragraph" w:customStyle="1" w:styleId="Rapportinfobold">
    <w:name w:val="Rapportinfo bold"/>
    <w:basedOn w:val="Rapportinfo"/>
    <w:next w:val="Rapportinfo"/>
    <w:rsid w:val="00556FCE"/>
    <w:rPr>
      <w:b/>
    </w:rPr>
  </w:style>
  <w:style w:type="paragraph" w:customStyle="1" w:styleId="BijlageHeader4">
    <w:name w:val="BijlageHeader 4"/>
    <w:basedOn w:val="Normal"/>
    <w:next w:val="Body"/>
    <w:rsid w:val="00556FCE"/>
    <w:pPr>
      <w:keepNext/>
      <w:keepLines/>
      <w:tabs>
        <w:tab w:val="left" w:pos="0"/>
      </w:tabs>
      <w:spacing w:line="260" w:lineRule="exact"/>
    </w:pPr>
    <w:rPr>
      <w:i/>
      <w:sz w:val="21"/>
    </w:rPr>
  </w:style>
  <w:style w:type="paragraph" w:customStyle="1" w:styleId="BijlageHeader">
    <w:name w:val="BijlageHeader"/>
    <w:basedOn w:val="Normal"/>
    <w:next w:val="Body"/>
    <w:rsid w:val="00556FCE"/>
    <w:pPr>
      <w:keepNext/>
      <w:keepLines/>
      <w:numPr>
        <w:ilvl w:val="6"/>
        <w:numId w:val="5"/>
      </w:numPr>
      <w:tabs>
        <w:tab w:val="clear" w:pos="360"/>
        <w:tab w:val="left" w:pos="0"/>
        <w:tab w:val="left" w:pos="907"/>
      </w:tabs>
      <w:spacing w:after="520" w:line="360" w:lineRule="exact"/>
      <w:ind w:hanging="907"/>
      <w:outlineLvl w:val="6"/>
    </w:pPr>
    <w:rPr>
      <w:b/>
      <w:sz w:val="32"/>
    </w:rPr>
  </w:style>
  <w:style w:type="paragraph" w:customStyle="1" w:styleId="BijlageHeader2">
    <w:name w:val="BijlageHeader 2"/>
    <w:basedOn w:val="Normal"/>
    <w:next w:val="Body"/>
    <w:rsid w:val="00556FCE"/>
    <w:pPr>
      <w:keepNext/>
      <w:keepLines/>
      <w:numPr>
        <w:ilvl w:val="7"/>
        <w:numId w:val="5"/>
      </w:numPr>
      <w:tabs>
        <w:tab w:val="clear" w:pos="720"/>
        <w:tab w:val="left" w:pos="0"/>
        <w:tab w:val="left" w:pos="907"/>
      </w:tabs>
      <w:spacing w:after="260" w:line="260" w:lineRule="exact"/>
      <w:ind w:hanging="907"/>
      <w:outlineLvl w:val="7"/>
    </w:pPr>
    <w:rPr>
      <w:b/>
      <w:sz w:val="26"/>
    </w:rPr>
  </w:style>
  <w:style w:type="paragraph" w:customStyle="1" w:styleId="BijlageHeader3">
    <w:name w:val="BijlageHeader 3"/>
    <w:basedOn w:val="Normal"/>
    <w:next w:val="Body"/>
    <w:rsid w:val="00556FCE"/>
    <w:pPr>
      <w:keepNext/>
      <w:keepLines/>
      <w:numPr>
        <w:ilvl w:val="8"/>
        <w:numId w:val="5"/>
      </w:numPr>
      <w:tabs>
        <w:tab w:val="clear" w:pos="720"/>
        <w:tab w:val="left" w:pos="0"/>
        <w:tab w:val="left" w:pos="907"/>
      </w:tabs>
      <w:spacing w:line="260" w:lineRule="exact"/>
      <w:ind w:hanging="907"/>
      <w:outlineLvl w:val="8"/>
    </w:pPr>
    <w:rPr>
      <w:i/>
      <w:sz w:val="21"/>
    </w:rPr>
  </w:style>
  <w:style w:type="paragraph" w:customStyle="1" w:styleId="Rapportinfoitalic">
    <w:name w:val="Rapportinfo italic"/>
    <w:basedOn w:val="Rapportinfo"/>
    <w:next w:val="Rapportinfo"/>
    <w:rsid w:val="00556FCE"/>
    <w:rPr>
      <w:i/>
    </w:rPr>
  </w:style>
  <w:style w:type="paragraph" w:customStyle="1" w:styleId="Rapportnummer">
    <w:name w:val="Rapportnummer"/>
    <w:basedOn w:val="Body"/>
    <w:rsid w:val="00556FCE"/>
    <w:pPr>
      <w:suppressAutoHyphens/>
      <w:jc w:val="left"/>
    </w:pPr>
    <w:rPr>
      <w:b/>
    </w:rPr>
  </w:style>
  <w:style w:type="paragraph" w:customStyle="1" w:styleId="Bodyklein">
    <w:name w:val="Body klein"/>
    <w:basedOn w:val="Bodykleinitalic"/>
    <w:next w:val="Body"/>
    <w:rsid w:val="00556FCE"/>
    <w:pPr>
      <w:spacing w:before="190" w:line="210" w:lineRule="exact"/>
    </w:pPr>
    <w:rPr>
      <w:i w:val="0"/>
    </w:rPr>
  </w:style>
  <w:style w:type="paragraph" w:customStyle="1" w:styleId="Bodykleinitalic">
    <w:name w:val="Body klein italic"/>
    <w:basedOn w:val="Body"/>
    <w:next w:val="Body"/>
    <w:rsid w:val="00556FCE"/>
    <w:pPr>
      <w:spacing w:line="200" w:lineRule="exact"/>
      <w:jc w:val="left"/>
    </w:pPr>
    <w:rPr>
      <w:i/>
      <w:sz w:val="17"/>
    </w:rPr>
  </w:style>
  <w:style w:type="paragraph" w:customStyle="1" w:styleId="Bodykleinbold">
    <w:name w:val="Body klein bold"/>
    <w:basedOn w:val="Body"/>
    <w:next w:val="Body"/>
    <w:rsid w:val="00556FCE"/>
    <w:pPr>
      <w:spacing w:line="200" w:lineRule="exact"/>
      <w:jc w:val="left"/>
    </w:pPr>
    <w:rPr>
      <w:b/>
      <w:sz w:val="17"/>
    </w:rPr>
  </w:style>
  <w:style w:type="paragraph" w:customStyle="1" w:styleId="Bodykleinitalicrechts">
    <w:name w:val="Body klein italic rechts"/>
    <w:basedOn w:val="Body"/>
    <w:next w:val="Body"/>
    <w:rsid w:val="00556FCE"/>
    <w:pPr>
      <w:spacing w:line="200" w:lineRule="exact"/>
      <w:jc w:val="right"/>
    </w:pPr>
    <w:rPr>
      <w:i/>
      <w:sz w:val="17"/>
    </w:rPr>
  </w:style>
  <w:style w:type="paragraph" w:customStyle="1" w:styleId="Marge">
    <w:name w:val="Marge"/>
    <w:basedOn w:val="Normal"/>
    <w:rsid w:val="00556FCE"/>
    <w:pPr>
      <w:tabs>
        <w:tab w:val="left" w:pos="198"/>
      </w:tabs>
      <w:spacing w:line="210" w:lineRule="exact"/>
    </w:pPr>
    <w:rPr>
      <w:noProof/>
      <w:sz w:val="17"/>
    </w:rPr>
  </w:style>
  <w:style w:type="paragraph" w:customStyle="1" w:styleId="Margebold">
    <w:name w:val="Marge bold"/>
    <w:basedOn w:val="Marge"/>
    <w:next w:val="Marge"/>
    <w:rsid w:val="00556FCE"/>
    <w:rPr>
      <w:b/>
    </w:rPr>
  </w:style>
  <w:style w:type="paragraph" w:customStyle="1" w:styleId="Margeitalic">
    <w:name w:val="Marge italic"/>
    <w:basedOn w:val="Marge"/>
    <w:next w:val="Marge"/>
    <w:rsid w:val="00556FCE"/>
    <w:rPr>
      <w:i/>
    </w:rPr>
  </w:style>
  <w:style w:type="paragraph" w:customStyle="1" w:styleId="Margewitregel">
    <w:name w:val="Marge witregel"/>
    <w:basedOn w:val="Marge"/>
    <w:next w:val="Marge"/>
    <w:rsid w:val="00556FCE"/>
    <w:pPr>
      <w:spacing w:line="140" w:lineRule="exact"/>
    </w:pPr>
  </w:style>
  <w:style w:type="paragraph" w:customStyle="1" w:styleId="FU4-8-Software1">
    <w:name w:val="FU|4-8-Software1"/>
    <w:rsid w:val="00556FCE"/>
    <w:rPr>
      <w:rFonts w:ascii="Times New Roman" w:hAnsi="Times New Roman"/>
      <w:lang w:val="en-US" w:eastAsia="en-US"/>
    </w:rPr>
  </w:style>
  <w:style w:type="paragraph" w:customStyle="1" w:styleId="Eqf">
    <w:name w:val="Eqf"/>
    <w:basedOn w:val="Normal"/>
    <w:next w:val="Normal"/>
    <w:rsid w:val="00556FCE"/>
    <w:pPr>
      <w:tabs>
        <w:tab w:val="center" w:pos="3828"/>
        <w:tab w:val="right" w:pos="7655"/>
      </w:tabs>
      <w:spacing w:before="120" w:after="120" w:line="300" w:lineRule="atLeast"/>
    </w:pPr>
    <w:rPr>
      <w:noProof/>
      <w:sz w:val="22"/>
    </w:rPr>
  </w:style>
  <w:style w:type="paragraph" w:customStyle="1" w:styleId="TNOBodytekststandUK">
    <w:name w:val="TNOBodytekststandUK"/>
    <w:rsid w:val="00556FCE"/>
    <w:pPr>
      <w:spacing w:line="255" w:lineRule="exact"/>
    </w:pPr>
    <w:rPr>
      <w:sz w:val="22"/>
      <w:lang w:val="en-GB" w:eastAsia="en-US"/>
    </w:rPr>
  </w:style>
  <w:style w:type="paragraph" w:customStyle="1" w:styleId="Formula">
    <w:name w:val="Formula"/>
    <w:basedOn w:val="Normal"/>
    <w:next w:val="Normal"/>
    <w:rsid w:val="00556FCE"/>
    <w:pPr>
      <w:tabs>
        <w:tab w:val="right" w:pos="7371"/>
      </w:tabs>
      <w:spacing w:line="300" w:lineRule="atLeast"/>
    </w:pPr>
    <w:rPr>
      <w:rFonts w:ascii="Verdana" w:hAnsi="Verdana"/>
      <w:noProof/>
      <w:sz w:val="22"/>
    </w:rPr>
  </w:style>
  <w:style w:type="paragraph" w:customStyle="1" w:styleId="Els-body-text">
    <w:name w:val="Els-body-text"/>
    <w:link w:val="Els-body-textChar"/>
    <w:rsid w:val="00556FCE"/>
    <w:pPr>
      <w:keepNext/>
      <w:spacing w:line="240" w:lineRule="exact"/>
      <w:ind w:firstLine="238"/>
      <w:jc w:val="both"/>
    </w:pPr>
    <w:rPr>
      <w:rFonts w:ascii="Times New Roman" w:hAnsi="Times New Roman"/>
      <w:lang w:val="en-US" w:eastAsia="en-US"/>
    </w:rPr>
  </w:style>
  <w:style w:type="character" w:customStyle="1" w:styleId="Els-body-textChar">
    <w:name w:val="Els-body-text Char"/>
    <w:basedOn w:val="Standardskrifttypeiafsnit"/>
    <w:link w:val="Els-body-text"/>
    <w:rsid w:val="00556FCE"/>
    <w:rPr>
      <w:lang w:val="en-US" w:eastAsia="en-US" w:bidi="ar-SA"/>
    </w:rPr>
  </w:style>
  <w:style w:type="paragraph" w:customStyle="1" w:styleId="Els-bulletlist">
    <w:name w:val="Els-bulletlist"/>
    <w:basedOn w:val="Els-body-text"/>
    <w:rsid w:val="00556FCE"/>
    <w:pPr>
      <w:numPr>
        <w:numId w:val="6"/>
      </w:numPr>
      <w:tabs>
        <w:tab w:val="clear" w:pos="360"/>
        <w:tab w:val="left" w:pos="240"/>
        <w:tab w:val="num" w:pos="720"/>
      </w:tabs>
      <w:ind w:left="720" w:hanging="360"/>
      <w:jc w:val="left"/>
    </w:pPr>
  </w:style>
  <w:style w:type="character" w:customStyle="1" w:styleId="SidefodTegn">
    <w:name w:val="Sidefod Tegn"/>
    <w:basedOn w:val="Standardskrifttypeiafsnit"/>
    <w:link w:val="Sidefod"/>
    <w:uiPriority w:val="99"/>
    <w:locked/>
    <w:rsid w:val="00C72B82"/>
    <w:rPr>
      <w:rFonts w:ascii="Arial" w:hAnsi="Arial"/>
      <w:sz w:val="16"/>
      <w:lang w:val="en-US" w:eastAsia="en-US"/>
    </w:rPr>
  </w:style>
  <w:style w:type="character" w:customStyle="1" w:styleId="SidehovedTegn">
    <w:name w:val="Sidehoved Tegn"/>
    <w:basedOn w:val="Standardskrifttypeiafsnit"/>
    <w:link w:val="Sidehoved"/>
    <w:uiPriority w:val="99"/>
    <w:locked/>
    <w:rsid w:val="00C72B82"/>
    <w:rPr>
      <w:rFonts w:ascii="Times New Roman" w:hAnsi="Times New Roman"/>
      <w:sz w:val="24"/>
      <w:lang w:val="en-US" w:eastAsia="en-US"/>
    </w:rPr>
  </w:style>
  <w:style w:type="paragraph" w:styleId="Listeafsnit">
    <w:name w:val="List Paragraph"/>
    <w:basedOn w:val="Normal"/>
    <w:uiPriority w:val="34"/>
    <w:qFormat/>
    <w:rsid w:val="00321189"/>
    <w:pPr>
      <w:ind w:left="720"/>
      <w:contextualSpacing/>
    </w:pPr>
  </w:style>
  <w:style w:type="paragraph" w:customStyle="1" w:styleId="Default">
    <w:name w:val="Default"/>
    <w:rsid w:val="0036112B"/>
    <w:pPr>
      <w:autoSpaceDE w:val="0"/>
      <w:autoSpaceDN w:val="0"/>
      <w:adjustRightInd w:val="0"/>
    </w:pPr>
    <w:rPr>
      <w:rFonts w:ascii="Times New Roman" w:hAnsi="Times New Roman"/>
      <w:color w:val="000000"/>
      <w:sz w:val="24"/>
      <w:szCs w:val="24"/>
    </w:rPr>
  </w:style>
  <w:style w:type="character" w:customStyle="1" w:styleId="Title1Char">
    <w:name w:val="Title1 Char"/>
    <w:link w:val="Title1"/>
    <w:rsid w:val="00D80A8F"/>
    <w:rPr>
      <w:rFonts w:ascii="Arial" w:hAnsi="Arial" w:cs="Arial"/>
      <w:caps/>
      <w:sz w:val="12"/>
      <w:lang w:val="en-US" w:eastAsia="en-US"/>
    </w:rPr>
  </w:style>
  <w:style w:type="paragraph" w:styleId="Korrektur">
    <w:name w:val="Revision"/>
    <w:hidden/>
    <w:uiPriority w:val="99"/>
    <w:semiHidden/>
    <w:rsid w:val="00DF64FB"/>
    <w:rPr>
      <w:rFonts w:ascii="Times New Roman" w:hAnsi="Times New Roman"/>
      <w:sz w:val="24"/>
      <w:lang w:val="en-US" w:eastAsia="en-US"/>
    </w:rPr>
  </w:style>
  <w:style w:type="character" w:styleId="Kommentarhenvisning">
    <w:name w:val="annotation reference"/>
    <w:basedOn w:val="Standardskrifttypeiafsnit"/>
    <w:uiPriority w:val="99"/>
    <w:rsid w:val="00DF64FB"/>
    <w:rPr>
      <w:sz w:val="16"/>
      <w:szCs w:val="16"/>
    </w:rPr>
  </w:style>
  <w:style w:type="paragraph" w:styleId="Kommentartekst">
    <w:name w:val="annotation text"/>
    <w:basedOn w:val="Normal"/>
    <w:link w:val="KommentartekstTegn"/>
    <w:uiPriority w:val="99"/>
    <w:rsid w:val="00DF64FB"/>
    <w:rPr>
      <w:sz w:val="20"/>
    </w:rPr>
  </w:style>
  <w:style w:type="character" w:customStyle="1" w:styleId="KommentartekstTegn">
    <w:name w:val="Kommentartekst Tegn"/>
    <w:basedOn w:val="Standardskrifttypeiafsnit"/>
    <w:link w:val="Kommentartekst"/>
    <w:uiPriority w:val="99"/>
    <w:rsid w:val="00DF64FB"/>
    <w:rPr>
      <w:rFonts w:ascii="Times New Roman" w:hAnsi="Times New Roman"/>
      <w:lang w:val="en-US" w:eastAsia="en-US"/>
    </w:rPr>
  </w:style>
  <w:style w:type="paragraph" w:styleId="Kommentaremne">
    <w:name w:val="annotation subject"/>
    <w:basedOn w:val="Kommentartekst"/>
    <w:next w:val="Kommentartekst"/>
    <w:link w:val="KommentaremneTegn"/>
    <w:rsid w:val="00DF64FB"/>
    <w:rPr>
      <w:b/>
      <w:bCs/>
    </w:rPr>
  </w:style>
  <w:style w:type="character" w:customStyle="1" w:styleId="KommentaremneTegn">
    <w:name w:val="Kommentaremne Tegn"/>
    <w:basedOn w:val="KommentartekstTegn"/>
    <w:link w:val="Kommentaremne"/>
    <w:rsid w:val="00DF64FB"/>
    <w:rPr>
      <w:rFonts w:ascii="Times New Roman" w:hAnsi="Times New Roman"/>
      <w:b/>
      <w:bCs/>
      <w:lang w:val="en-US" w:eastAsia="en-US"/>
    </w:rPr>
  </w:style>
  <w:style w:type="paragraph" w:styleId="Ingenafstand">
    <w:name w:val="No Spacing"/>
    <w:uiPriority w:val="1"/>
    <w:qFormat/>
    <w:rsid w:val="0057668B"/>
    <w:rPr>
      <w:rFonts w:ascii="Times New Roman" w:hAnsi="Times New Roman"/>
      <w:sz w:val="24"/>
      <w:lang w:val="en-US" w:eastAsia="en-US"/>
    </w:rPr>
  </w:style>
  <w:style w:type="table" w:styleId="Lysliste-fremhvningsfarve6">
    <w:name w:val="Light List Accent 6"/>
    <w:basedOn w:val="Tabel-Normal"/>
    <w:uiPriority w:val="61"/>
    <w:rsid w:val="001B5DF1"/>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GridTable4-Accent31">
    <w:name w:val="Grid Table 4 - Accent 31"/>
    <w:basedOn w:val="Tabel-Normal"/>
    <w:uiPriority w:val="49"/>
    <w:rsid w:val="0095369A"/>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Overskrift">
    <w:name w:val="TOC Heading"/>
    <w:basedOn w:val="Overskrift1"/>
    <w:next w:val="Normal"/>
    <w:uiPriority w:val="39"/>
    <w:unhideWhenUsed/>
    <w:qFormat/>
    <w:rsid w:val="00A10FCB"/>
    <w:pPr>
      <w:keepLines/>
      <w:pageBreakBefore w:val="0"/>
      <w:numPr>
        <w:numId w:val="0"/>
      </w:numPr>
      <w:spacing w:before="240" w:after="0" w:line="259" w:lineRule="auto"/>
      <w:jc w:val="left"/>
      <w:outlineLvl w:val="9"/>
    </w:pPr>
    <w:rPr>
      <w:rFonts w:asciiTheme="majorHAnsi" w:eastAsiaTheme="majorEastAsia" w:hAnsiTheme="majorHAnsi" w:cstheme="majorBidi"/>
      <w:b w:val="0"/>
      <w:caps w:val="0"/>
      <w:color w:val="365F91" w:themeColor="accent1" w:themeShade="BF"/>
      <w:kern w:val="0"/>
      <w:sz w:val="32"/>
      <w:szCs w:val="32"/>
    </w:rPr>
  </w:style>
  <w:style w:type="paragraph" w:customStyle="1" w:styleId="Text">
    <w:name w:val="Text"/>
    <w:basedOn w:val="Normal"/>
    <w:link w:val="TextZchn"/>
    <w:qFormat/>
    <w:rsid w:val="000A133D"/>
    <w:pPr>
      <w:autoSpaceDE w:val="0"/>
      <w:autoSpaceDN w:val="0"/>
      <w:adjustRightInd w:val="0"/>
      <w:spacing w:before="120" w:after="120"/>
    </w:pPr>
    <w:rPr>
      <w:rFonts w:asciiTheme="minorHAnsi" w:hAnsiTheme="minorHAnsi" w:cs="Arial"/>
      <w:sz w:val="22"/>
      <w:szCs w:val="22"/>
      <w:lang w:eastAsia="nl-NL"/>
    </w:rPr>
  </w:style>
  <w:style w:type="character" w:customStyle="1" w:styleId="TextZchn">
    <w:name w:val="Text Zchn"/>
    <w:basedOn w:val="Standardskrifttypeiafsnit"/>
    <w:link w:val="Text"/>
    <w:rsid w:val="000A133D"/>
    <w:rPr>
      <w:rFonts w:asciiTheme="minorHAnsi" w:hAnsiTheme="minorHAnsi" w:cs="Arial"/>
      <w:sz w:val="22"/>
      <w:szCs w:val="22"/>
      <w:lang w:val="en-US"/>
    </w:rPr>
  </w:style>
  <w:style w:type="character" w:styleId="Strk">
    <w:name w:val="Strong"/>
    <w:basedOn w:val="Standardskrifttypeiafsnit"/>
    <w:qFormat/>
    <w:rsid w:val="000A133D"/>
    <w:rPr>
      <w:b/>
      <w:bCs/>
    </w:rPr>
  </w:style>
  <w:style w:type="numbering" w:customStyle="1" w:styleId="Ingenoversigt1">
    <w:name w:val="Ingen oversigt1"/>
    <w:next w:val="Ingenoversigt"/>
    <w:uiPriority w:val="99"/>
    <w:semiHidden/>
    <w:unhideWhenUsed/>
    <w:rsid w:val="00360ACA"/>
  </w:style>
  <w:style w:type="character" w:customStyle="1" w:styleId="Overskrift1Tegn">
    <w:name w:val="Overskrift 1 Tegn"/>
    <w:basedOn w:val="Standardskrifttypeiafsnit"/>
    <w:link w:val="Overskrift1"/>
    <w:rsid w:val="00360ACA"/>
    <w:rPr>
      <w:rFonts w:ascii="Times New Roman" w:hAnsi="Times New Roman"/>
      <w:b/>
      <w:caps/>
      <w:kern w:val="28"/>
      <w:sz w:val="28"/>
      <w:lang w:val="en-US" w:eastAsia="en-US"/>
    </w:rPr>
  </w:style>
  <w:style w:type="character" w:customStyle="1" w:styleId="Overskrift2Tegn">
    <w:name w:val="Overskrift 2 Tegn"/>
    <w:basedOn w:val="Standardskrifttypeiafsnit"/>
    <w:link w:val="Overskrift2"/>
    <w:rsid w:val="00186468"/>
    <w:rPr>
      <w:rFonts w:ascii="Times New Roman" w:hAnsi="Times New Roman"/>
      <w:b/>
      <w:sz w:val="28"/>
      <w:lang w:val="en-US" w:eastAsia="en-US"/>
    </w:rPr>
  </w:style>
  <w:style w:type="character" w:customStyle="1" w:styleId="Overskrift3Tegn">
    <w:name w:val="Overskrift 3 Tegn"/>
    <w:basedOn w:val="Standardskrifttypeiafsnit"/>
    <w:link w:val="Overskrift3"/>
    <w:rsid w:val="008156D7"/>
    <w:rPr>
      <w:rFonts w:ascii="Times New Roman" w:hAnsi="Times New Roman"/>
      <w:i/>
      <w:color w:val="FF0000"/>
      <w:sz w:val="24"/>
      <w:lang w:val="en-US" w:eastAsia="en-US"/>
    </w:rPr>
  </w:style>
  <w:style w:type="character" w:customStyle="1" w:styleId="Overskrift4Tegn">
    <w:name w:val="Overskrift 4 Tegn"/>
    <w:basedOn w:val="Standardskrifttypeiafsnit"/>
    <w:link w:val="Overskrift4"/>
    <w:rsid w:val="000C3AC2"/>
    <w:rPr>
      <w:rFonts w:ascii="Times New Roman" w:hAnsi="Times New Roman"/>
      <w:i/>
      <w:color w:val="FF0000"/>
      <w:sz w:val="24"/>
      <w:lang w:val="en-US" w:eastAsia="en-US"/>
    </w:rPr>
  </w:style>
  <w:style w:type="character" w:customStyle="1" w:styleId="Overskrift5Tegn">
    <w:name w:val="Overskrift 5 Tegn"/>
    <w:aliases w:val="IKKE I BRUK... Tegn"/>
    <w:basedOn w:val="Standardskrifttypeiafsnit"/>
    <w:link w:val="Overskrift5"/>
    <w:rsid w:val="00360ACA"/>
    <w:rPr>
      <w:rFonts w:ascii="Times New Roman" w:hAnsi="Times New Roman"/>
      <w:sz w:val="16"/>
      <w:lang w:val="en-US" w:eastAsia="en-US"/>
    </w:rPr>
  </w:style>
  <w:style w:type="character" w:customStyle="1" w:styleId="Overskrift6Tegn">
    <w:name w:val="Overskrift 6 Tegn"/>
    <w:aliases w:val="IKKE I BRUK.. Tegn"/>
    <w:basedOn w:val="Standardskrifttypeiafsnit"/>
    <w:link w:val="Overskrift6"/>
    <w:rsid w:val="00360ACA"/>
    <w:rPr>
      <w:rFonts w:ascii="Times New Roman" w:hAnsi="Times New Roman"/>
      <w:sz w:val="16"/>
      <w:lang w:val="en-US" w:eastAsia="en-US"/>
    </w:rPr>
  </w:style>
  <w:style w:type="character" w:customStyle="1" w:styleId="Overskrift7Tegn">
    <w:name w:val="Overskrift 7 Tegn"/>
    <w:basedOn w:val="Standardskrifttypeiafsnit"/>
    <w:link w:val="Overskrift7"/>
    <w:rsid w:val="00360ACA"/>
    <w:rPr>
      <w:rFonts w:ascii="Times New Roman" w:hAnsi="Times New Roman"/>
      <w:b/>
      <w:sz w:val="24"/>
      <w:lang w:val="en-US" w:eastAsia="en-US"/>
    </w:rPr>
  </w:style>
  <w:style w:type="character" w:customStyle="1" w:styleId="Overskrift8Tegn">
    <w:name w:val="Overskrift 8 Tegn"/>
    <w:basedOn w:val="Standardskrifttypeiafsnit"/>
    <w:link w:val="Overskrift8"/>
    <w:rsid w:val="00360ACA"/>
    <w:rPr>
      <w:rFonts w:ascii="Times New Roman" w:hAnsi="Times New Roman"/>
      <w:b/>
      <w:sz w:val="24"/>
      <w:lang w:val="en-US" w:eastAsia="en-US"/>
    </w:rPr>
  </w:style>
  <w:style w:type="character" w:customStyle="1" w:styleId="Overskrift9Tegn">
    <w:name w:val="Overskrift 9 Tegn"/>
    <w:basedOn w:val="Standardskrifttypeiafsnit"/>
    <w:link w:val="Overskrift9"/>
    <w:rsid w:val="00360ACA"/>
    <w:rPr>
      <w:rFonts w:ascii="Times New Roman" w:hAnsi="Times New Roman"/>
      <w:b/>
      <w:sz w:val="24"/>
      <w:lang w:val="en-US" w:eastAsia="en-US"/>
    </w:rPr>
  </w:style>
  <w:style w:type="character" w:customStyle="1" w:styleId="FodnotetekstTegn">
    <w:name w:val="Fodnotetekst Tegn"/>
    <w:basedOn w:val="Standardskrifttypeiafsnit"/>
    <w:link w:val="Fodnotetekst"/>
    <w:uiPriority w:val="99"/>
    <w:semiHidden/>
    <w:rsid w:val="00360ACA"/>
    <w:rPr>
      <w:rFonts w:ascii="Times New Roman" w:hAnsi="Times New Roman"/>
      <w:lang w:val="en-US" w:eastAsia="en-US"/>
    </w:rPr>
  </w:style>
  <w:style w:type="character" w:customStyle="1" w:styleId="DokumentoversigtTegn">
    <w:name w:val="Dokumentoversigt Tegn"/>
    <w:basedOn w:val="Standardskrifttypeiafsnit"/>
    <w:link w:val="Dokumentoversigt"/>
    <w:semiHidden/>
    <w:rsid w:val="00360ACA"/>
    <w:rPr>
      <w:rFonts w:ascii="Tahoma" w:hAnsi="Tahoma" w:cs="Tahoma"/>
      <w:shd w:val="clear" w:color="auto" w:fill="000080"/>
      <w:lang w:val="en-US" w:eastAsia="en-US"/>
    </w:rPr>
  </w:style>
  <w:style w:type="table" w:customStyle="1" w:styleId="Tabel-Gitter1">
    <w:name w:val="Tabel - Gitter1"/>
    <w:basedOn w:val="Tabel-Normal"/>
    <w:next w:val="Tabel-Gitter"/>
    <w:uiPriority w:val="39"/>
    <w:rsid w:val="00360AC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rdtekstTegn">
    <w:name w:val="Brødtekst Tegn"/>
    <w:basedOn w:val="Standardskrifttypeiafsnit"/>
    <w:link w:val="Brdtekst"/>
    <w:rsid w:val="00360ACA"/>
    <w:rPr>
      <w:sz w:val="24"/>
      <w:lang w:val="en-US" w:eastAsia="en-US"/>
    </w:rPr>
  </w:style>
  <w:style w:type="character" w:customStyle="1" w:styleId="MarkeringsbobletekstTegn">
    <w:name w:val="Markeringsbobletekst Tegn"/>
    <w:basedOn w:val="Standardskrifttypeiafsnit"/>
    <w:link w:val="Markeringsbobletekst"/>
    <w:semiHidden/>
    <w:rsid w:val="00360ACA"/>
    <w:rPr>
      <w:rFonts w:ascii="Tahoma" w:hAnsi="Tahoma" w:cs="Tahoma"/>
      <w:sz w:val="16"/>
      <w:szCs w:val="16"/>
      <w:lang w:val="en-US" w:eastAsia="en-US"/>
    </w:rPr>
  </w:style>
  <w:style w:type="table" w:customStyle="1" w:styleId="Lysliste-fremhvningsfarve61">
    <w:name w:val="Lys liste - fremhævningsfarve 61"/>
    <w:basedOn w:val="Tabel-Normal"/>
    <w:next w:val="Lysliste-fremhvningsfarve6"/>
    <w:uiPriority w:val="61"/>
    <w:rsid w:val="00360ACA"/>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Gittertabel4-farve31">
    <w:name w:val="Gittertabel 4 - farve 31"/>
    <w:basedOn w:val="Tabel-Normal"/>
    <w:next w:val="GridTable4-Accent31"/>
    <w:uiPriority w:val="49"/>
    <w:rsid w:val="00360ACA"/>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Titel">
    <w:name w:val="Title"/>
    <w:basedOn w:val="Normal"/>
    <w:next w:val="Normal"/>
    <w:link w:val="TitelTegn"/>
    <w:qFormat/>
    <w:rsid w:val="00360ACA"/>
    <w:pPr>
      <w:contextualSpacing/>
    </w:pPr>
    <w:rPr>
      <w:rFonts w:asciiTheme="majorHAnsi" w:eastAsiaTheme="majorEastAsia" w:hAnsiTheme="majorHAnsi" w:cstheme="majorBidi"/>
      <w:spacing w:val="-10"/>
      <w:kern w:val="28"/>
      <w:sz w:val="56"/>
      <w:szCs w:val="56"/>
    </w:rPr>
  </w:style>
  <w:style w:type="character" w:customStyle="1" w:styleId="TitelTegn">
    <w:name w:val="Titel Tegn"/>
    <w:basedOn w:val="Standardskrifttypeiafsnit"/>
    <w:link w:val="Titel"/>
    <w:rsid w:val="00360ACA"/>
    <w:rPr>
      <w:rFonts w:asciiTheme="majorHAnsi" w:eastAsiaTheme="majorEastAsia" w:hAnsiTheme="majorHAnsi" w:cstheme="majorBidi"/>
      <w:spacing w:val="-10"/>
      <w:kern w:val="28"/>
      <w:sz w:val="56"/>
      <w:szCs w:val="56"/>
      <w:lang w:val="en-US" w:eastAsia="en-US"/>
    </w:rPr>
  </w:style>
  <w:style w:type="paragraph" w:styleId="Indholdsfortegnelse4">
    <w:name w:val="toc 4"/>
    <w:basedOn w:val="Normal"/>
    <w:next w:val="Normal"/>
    <w:autoRedefine/>
    <w:unhideWhenUsed/>
    <w:rsid w:val="00360ACA"/>
    <w:pPr>
      <w:ind w:left="440"/>
      <w:jc w:val="left"/>
    </w:pPr>
    <w:rPr>
      <w:rFonts w:asciiTheme="minorHAnsi" w:hAnsiTheme="minorHAnsi" w:cstheme="minorHAnsi"/>
      <w:sz w:val="20"/>
    </w:rPr>
  </w:style>
  <w:style w:type="paragraph" w:styleId="Indholdsfortegnelse5">
    <w:name w:val="toc 5"/>
    <w:basedOn w:val="Normal"/>
    <w:next w:val="Normal"/>
    <w:autoRedefine/>
    <w:unhideWhenUsed/>
    <w:rsid w:val="00360ACA"/>
    <w:pPr>
      <w:ind w:left="660"/>
      <w:jc w:val="left"/>
    </w:pPr>
    <w:rPr>
      <w:rFonts w:asciiTheme="minorHAnsi" w:hAnsiTheme="minorHAnsi" w:cstheme="minorHAnsi"/>
      <w:sz w:val="20"/>
    </w:rPr>
  </w:style>
  <w:style w:type="paragraph" w:styleId="Indholdsfortegnelse6">
    <w:name w:val="toc 6"/>
    <w:basedOn w:val="Normal"/>
    <w:next w:val="Normal"/>
    <w:autoRedefine/>
    <w:unhideWhenUsed/>
    <w:rsid w:val="00360ACA"/>
    <w:pPr>
      <w:ind w:left="880"/>
      <w:jc w:val="left"/>
    </w:pPr>
    <w:rPr>
      <w:rFonts w:asciiTheme="minorHAnsi" w:hAnsiTheme="minorHAnsi" w:cstheme="minorHAnsi"/>
      <w:sz w:val="20"/>
    </w:rPr>
  </w:style>
  <w:style w:type="paragraph" w:styleId="Indholdsfortegnelse7">
    <w:name w:val="toc 7"/>
    <w:basedOn w:val="Normal"/>
    <w:next w:val="Normal"/>
    <w:autoRedefine/>
    <w:unhideWhenUsed/>
    <w:rsid w:val="00360ACA"/>
    <w:pPr>
      <w:ind w:left="1100"/>
      <w:jc w:val="left"/>
    </w:pPr>
    <w:rPr>
      <w:rFonts w:asciiTheme="minorHAnsi" w:hAnsiTheme="minorHAnsi" w:cstheme="minorHAnsi"/>
      <w:sz w:val="20"/>
    </w:rPr>
  </w:style>
  <w:style w:type="paragraph" w:styleId="Indholdsfortegnelse9">
    <w:name w:val="toc 9"/>
    <w:basedOn w:val="Normal"/>
    <w:next w:val="Normal"/>
    <w:autoRedefine/>
    <w:unhideWhenUsed/>
    <w:rsid w:val="00360ACA"/>
    <w:pPr>
      <w:ind w:left="1540"/>
      <w:jc w:val="left"/>
    </w:pPr>
    <w:rPr>
      <w:rFonts w:asciiTheme="minorHAnsi" w:hAnsiTheme="minorHAnsi" w:cstheme="minorHAnsi"/>
      <w:sz w:val="20"/>
    </w:rPr>
  </w:style>
  <w:style w:type="character" w:customStyle="1" w:styleId="NoneA">
    <w:name w:val="None A"/>
    <w:rsid w:val="00360ACA"/>
    <w:rPr>
      <w:lang w:val="de-DE"/>
    </w:rPr>
  </w:style>
  <w:style w:type="table" w:customStyle="1" w:styleId="TableGrid1">
    <w:name w:val="Table Grid1"/>
    <w:basedOn w:val="Tabel-Normal"/>
    <w:next w:val="Tabel-Gitter"/>
    <w:uiPriority w:val="39"/>
    <w:rsid w:val="000A34BE"/>
    <w:rPr>
      <w:rFonts w:asciiTheme="minorHAnsi" w:eastAsiaTheme="minorHAnsi" w:hAnsiTheme="minorHAnsi" w:cstheme="minorBidi"/>
      <w:sz w:val="22"/>
      <w:szCs w:val="22"/>
      <w:lang w:val="nl-B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784364">
      <w:bodyDiv w:val="1"/>
      <w:marLeft w:val="0"/>
      <w:marRight w:val="0"/>
      <w:marTop w:val="0"/>
      <w:marBottom w:val="0"/>
      <w:divBdr>
        <w:top w:val="none" w:sz="0" w:space="0" w:color="auto"/>
        <w:left w:val="none" w:sz="0" w:space="0" w:color="auto"/>
        <w:bottom w:val="none" w:sz="0" w:space="0" w:color="auto"/>
        <w:right w:val="none" w:sz="0" w:space="0" w:color="auto"/>
      </w:divBdr>
    </w:div>
    <w:div w:id="236135078">
      <w:bodyDiv w:val="1"/>
      <w:marLeft w:val="0"/>
      <w:marRight w:val="0"/>
      <w:marTop w:val="0"/>
      <w:marBottom w:val="0"/>
      <w:divBdr>
        <w:top w:val="none" w:sz="0" w:space="0" w:color="auto"/>
        <w:left w:val="none" w:sz="0" w:space="0" w:color="auto"/>
        <w:bottom w:val="none" w:sz="0" w:space="0" w:color="auto"/>
        <w:right w:val="none" w:sz="0" w:space="0" w:color="auto"/>
      </w:divBdr>
    </w:div>
    <w:div w:id="404769850">
      <w:bodyDiv w:val="1"/>
      <w:marLeft w:val="0"/>
      <w:marRight w:val="0"/>
      <w:marTop w:val="0"/>
      <w:marBottom w:val="0"/>
      <w:divBdr>
        <w:top w:val="none" w:sz="0" w:space="0" w:color="auto"/>
        <w:left w:val="none" w:sz="0" w:space="0" w:color="auto"/>
        <w:bottom w:val="none" w:sz="0" w:space="0" w:color="auto"/>
        <w:right w:val="none" w:sz="0" w:space="0" w:color="auto"/>
      </w:divBdr>
      <w:divsChild>
        <w:div w:id="68886607">
          <w:marLeft w:val="0"/>
          <w:marRight w:val="0"/>
          <w:marTop w:val="0"/>
          <w:marBottom w:val="0"/>
          <w:divBdr>
            <w:top w:val="none" w:sz="0" w:space="0" w:color="auto"/>
            <w:left w:val="none" w:sz="0" w:space="0" w:color="auto"/>
            <w:bottom w:val="none" w:sz="0" w:space="0" w:color="auto"/>
            <w:right w:val="none" w:sz="0" w:space="0" w:color="auto"/>
          </w:divBdr>
        </w:div>
        <w:div w:id="2033409254">
          <w:marLeft w:val="0"/>
          <w:marRight w:val="0"/>
          <w:marTop w:val="0"/>
          <w:marBottom w:val="0"/>
          <w:divBdr>
            <w:top w:val="none" w:sz="0" w:space="0" w:color="auto"/>
            <w:left w:val="none" w:sz="0" w:space="0" w:color="auto"/>
            <w:bottom w:val="none" w:sz="0" w:space="0" w:color="auto"/>
            <w:right w:val="none" w:sz="0" w:space="0" w:color="auto"/>
          </w:divBdr>
        </w:div>
      </w:divsChild>
    </w:div>
    <w:div w:id="742606714">
      <w:bodyDiv w:val="1"/>
      <w:marLeft w:val="0"/>
      <w:marRight w:val="0"/>
      <w:marTop w:val="0"/>
      <w:marBottom w:val="0"/>
      <w:divBdr>
        <w:top w:val="none" w:sz="0" w:space="0" w:color="auto"/>
        <w:left w:val="none" w:sz="0" w:space="0" w:color="auto"/>
        <w:bottom w:val="none" w:sz="0" w:space="0" w:color="auto"/>
        <w:right w:val="none" w:sz="0" w:space="0" w:color="auto"/>
      </w:divBdr>
      <w:divsChild>
        <w:div w:id="1340540466">
          <w:marLeft w:val="547"/>
          <w:marRight w:val="0"/>
          <w:marTop w:val="96"/>
          <w:marBottom w:val="0"/>
          <w:divBdr>
            <w:top w:val="none" w:sz="0" w:space="0" w:color="auto"/>
            <w:left w:val="none" w:sz="0" w:space="0" w:color="auto"/>
            <w:bottom w:val="none" w:sz="0" w:space="0" w:color="auto"/>
            <w:right w:val="none" w:sz="0" w:space="0" w:color="auto"/>
          </w:divBdr>
        </w:div>
      </w:divsChild>
    </w:div>
    <w:div w:id="999238812">
      <w:bodyDiv w:val="1"/>
      <w:marLeft w:val="0"/>
      <w:marRight w:val="0"/>
      <w:marTop w:val="0"/>
      <w:marBottom w:val="0"/>
      <w:divBdr>
        <w:top w:val="none" w:sz="0" w:space="0" w:color="auto"/>
        <w:left w:val="none" w:sz="0" w:space="0" w:color="auto"/>
        <w:bottom w:val="none" w:sz="0" w:space="0" w:color="auto"/>
        <w:right w:val="none" w:sz="0" w:space="0" w:color="auto"/>
      </w:divBdr>
    </w:div>
    <w:div w:id="1333870438">
      <w:bodyDiv w:val="1"/>
      <w:marLeft w:val="0"/>
      <w:marRight w:val="0"/>
      <w:marTop w:val="0"/>
      <w:marBottom w:val="0"/>
      <w:divBdr>
        <w:top w:val="none" w:sz="0" w:space="0" w:color="auto"/>
        <w:left w:val="none" w:sz="0" w:space="0" w:color="auto"/>
        <w:bottom w:val="none" w:sz="0" w:space="0" w:color="auto"/>
        <w:right w:val="none" w:sz="0" w:space="0" w:color="auto"/>
      </w:divBdr>
    </w:div>
    <w:div w:id="1800830415">
      <w:bodyDiv w:val="1"/>
      <w:marLeft w:val="0"/>
      <w:marRight w:val="0"/>
      <w:marTop w:val="0"/>
      <w:marBottom w:val="0"/>
      <w:divBdr>
        <w:top w:val="none" w:sz="0" w:space="0" w:color="auto"/>
        <w:left w:val="none" w:sz="0" w:space="0" w:color="auto"/>
        <w:bottom w:val="none" w:sz="0" w:space="0" w:color="auto"/>
        <w:right w:val="none" w:sz="0" w:space="0" w:color="auto"/>
      </w:divBdr>
    </w:div>
    <w:div w:id="2082019796">
      <w:bodyDiv w:val="1"/>
      <w:marLeft w:val="0"/>
      <w:marRight w:val="0"/>
      <w:marTop w:val="0"/>
      <w:marBottom w:val="0"/>
      <w:divBdr>
        <w:top w:val="none" w:sz="0" w:space="0" w:color="auto"/>
        <w:left w:val="none" w:sz="0" w:space="0" w:color="auto"/>
        <w:bottom w:val="none" w:sz="0" w:space="0" w:color="auto"/>
        <w:right w:val="none" w:sz="0" w:space="0" w:color="auto"/>
      </w:divBdr>
    </w:div>
    <w:div w:id="2135754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www.nlog.nl" TargetMode="External"/><Relationship Id="rId39" Type="http://schemas.openxmlformats.org/officeDocument/2006/relationships/hyperlink" Target="https://covra.nl/downloads/opera/OPERA-PU-TNO522.pdf" TargetMode="External"/><Relationship Id="rId21" Type="http://schemas.openxmlformats.org/officeDocument/2006/relationships/image" Target="media/image13.png"/><Relationship Id="rId34" Type="http://schemas.openxmlformats.org/officeDocument/2006/relationships/image" Target="media/image23.png"/><Relationship Id="rId42" Type="http://schemas.openxmlformats.org/officeDocument/2006/relationships/hyperlink" Target="https://doi.org/10.5194/hess-2018-624" TargetMode="External"/><Relationship Id="rId47" Type="http://schemas.openxmlformats.org/officeDocument/2006/relationships/footer" Target="footer2.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png"/><Relationship Id="rId11" Type="http://schemas.openxmlformats.org/officeDocument/2006/relationships/header" Target="header2.xml"/><Relationship Id="rId24" Type="http://schemas.openxmlformats.org/officeDocument/2006/relationships/image" Target="media/image16.png"/><Relationship Id="rId32" Type="http://schemas.openxmlformats.org/officeDocument/2006/relationships/image" Target="media/image21.png"/><Relationship Id="rId37" Type="http://schemas.openxmlformats.org/officeDocument/2006/relationships/hyperlink" Target="http://dx.doi.org/10.1016/j.marpetgeo.2014.03.001" TargetMode="External"/><Relationship Id="rId40" Type="http://schemas.openxmlformats.org/officeDocument/2006/relationships/hyperlink" Target="https://doi.org/10.1073/pnas.1323422111" TargetMode="External"/><Relationship Id="rId45" Type="http://schemas.openxmlformats.org/officeDocument/2006/relationships/hyperlink" Target="http://dx.doi.org/10.1016/j.ngib.2015.12.006"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www.dinoloket.nl" TargetMode="External"/><Relationship Id="rId36" Type="http://schemas.openxmlformats.org/officeDocument/2006/relationships/image" Target="media/image25.png"/><Relationship Id="rId49"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11.png"/><Relationship Id="rId31" Type="http://schemas.openxmlformats.org/officeDocument/2006/relationships/image" Target="media/image20.png"/><Relationship Id="rId44" Type="http://schemas.openxmlformats.org/officeDocument/2006/relationships/hyperlink" Target="https://www.sodm.nl/sitemap"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8.png"/><Relationship Id="rId30" Type="http://schemas.openxmlformats.org/officeDocument/2006/relationships/hyperlink" Target="http://www.nlog.nl" TargetMode="External"/><Relationship Id="rId35" Type="http://schemas.openxmlformats.org/officeDocument/2006/relationships/image" Target="media/image24.png"/><Relationship Id="rId43" Type="http://schemas.openxmlformats.org/officeDocument/2006/relationships/hyperlink" Target="http://www.journal-ijeee.com/content/3/1/16" TargetMode="External"/><Relationship Id="rId48"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2.png"/><Relationship Id="rId38" Type="http://schemas.openxmlformats.org/officeDocument/2006/relationships/hyperlink" Target="http://dx.doi.org/10.1016/j.marpetgeo.2014.07.014" TargetMode="External"/><Relationship Id="rId46" Type="http://schemas.openxmlformats.org/officeDocument/2006/relationships/header" Target="header3.xml"/><Relationship Id="rId20" Type="http://schemas.openxmlformats.org/officeDocument/2006/relationships/image" Target="media/image12.png"/><Relationship Id="rId41" Type="http://schemas.openxmlformats.org/officeDocument/2006/relationships/hyperlink" Target="https://doi.org/10.1007/s10040-018-1856-5"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chavemakerya\AppData\Local\Microsoft\Windows\INetCache\IE\0WIAY5AG\Deliverabl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013164-002D-4C3E-AABC-FFC6BA2CCB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Deliverable.dotx</Template>
  <TotalTime>1</TotalTime>
  <Pages>4</Pages>
  <Words>13615</Words>
  <Characters>83052</Characters>
  <Application>Microsoft Office Word</Application>
  <DocSecurity>4</DocSecurity>
  <Lines>692</Lines>
  <Paragraphs>192</Paragraphs>
  <ScaleCrop>false</ScaleCrop>
  <HeadingPairs>
    <vt:vector size="6" baseType="variant">
      <vt:variant>
        <vt:lpstr>Title</vt:lpstr>
      </vt:variant>
      <vt:variant>
        <vt:i4>1</vt:i4>
      </vt:variant>
      <vt:variant>
        <vt:lpstr>Titel</vt:lpstr>
      </vt:variant>
      <vt:variant>
        <vt:i4>1</vt:i4>
      </vt:variant>
      <vt:variant>
        <vt:lpstr>Cím</vt:lpstr>
      </vt:variant>
      <vt:variant>
        <vt:i4>1</vt:i4>
      </vt:variant>
    </vt:vector>
  </HeadingPairs>
  <TitlesOfParts>
    <vt:vector size="3" baseType="lpstr">
      <vt:lpstr>Template Deliverable</vt:lpstr>
      <vt:lpstr>Template Deliverable</vt:lpstr>
      <vt:lpstr>Template Deliverable</vt:lpstr>
    </vt:vector>
  </TitlesOfParts>
  <Company>SINTEF Energy Research</Company>
  <LinksUpToDate>false</LinksUpToDate>
  <CharactersWithSpaces>96475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Deliverable</dc:title>
  <dc:subject/>
  <dc:creator>Y.A. Schavemaker MSc</dc:creator>
  <cp:keywords>VoGERA TR1 WP3</cp:keywords>
  <dc:description/>
  <cp:lastModifiedBy>Jørgen Tulstrup</cp:lastModifiedBy>
  <cp:revision>2</cp:revision>
  <cp:lastPrinted>2019-07-01T13:54:00Z</cp:lastPrinted>
  <dcterms:created xsi:type="dcterms:W3CDTF">2021-01-12T08:33:00Z</dcterms:created>
  <dcterms:modified xsi:type="dcterms:W3CDTF">2021-01-12T08:33:00Z</dcterms:modified>
  <cp:category>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kumentmal">
    <vt:lpwstr>Teknisk rapport</vt:lpwstr>
  </property>
  <property fmtid="{D5CDD505-2E9C-101B-9397-08002B2CF9AE}" pid="3" name="Saksbehandler" linkTarget="dcSaksbeh">
    <vt:lpwstr/>
  </property>
  <property fmtid="{D5CDD505-2E9C-101B-9397-08002B2CF9AE}" pid="4" name="InnUt">
    <vt:lpwstr>Ut</vt:lpwstr>
  </property>
  <property fmtid="{D5CDD505-2E9C-101B-9397-08002B2CF9AE}" pid="5" name="DatoIDok" linkTarget="dcDato">
    <vt:lpwstr/>
  </property>
  <property fmtid="{D5CDD505-2E9C-101B-9397-08002B2CF9AE}" pid="6" name="TilFra" linkTarget="dcTilFirma">
    <vt:lpwstr>* FORMTEXT **Firmanavn*.</vt:lpwstr>
  </property>
  <property fmtid="{D5CDD505-2E9C-101B-9397-08002B2CF9AE}" pid="7" name="DokReferanse" linkTarget="dcDokRef">
    <vt:lpwstr/>
  </property>
  <property fmtid="{D5CDD505-2E9C-101B-9397-08002B2CF9AE}" pid="8" name="Hovedprosjekt">
    <vt:lpwstr> </vt:lpwstr>
  </property>
  <property fmtid="{D5CDD505-2E9C-101B-9397-08002B2CF9AE}" pid="9" name="Delprosjekt" linkTarget="dcHpnr">
    <vt:lpwstr>Db click - Insert date.</vt:lpwstr>
  </property>
  <property fmtid="{D5CDD505-2E9C-101B-9397-08002B2CF9AE}" pid="10" name="Tittel" linkTarget="dcTittel">
    <vt:lpwstr>* FORMTEXT **Skriv tittel*.</vt:lpwstr>
  </property>
  <property fmtid="{D5CDD505-2E9C-101B-9397-08002B2CF9AE}" pid="11" name="Fase">
    <vt:lpwstr>Rapportering</vt:lpwstr>
  </property>
  <property fmtid="{D5CDD505-2E9C-101B-9397-08002B2CF9AE}" pid="12" name="Avdeling" linkTarget="dcAvdeling">
    <vt:lpwstr/>
  </property>
  <property fmtid="{D5CDD505-2E9C-101B-9397-08002B2CF9AE}" pid="13" name="Attention" linkTarget="dcTilAtt">
    <vt:lpwstr>* FORMTEXT **Attention*.</vt:lpwstr>
  </property>
  <property fmtid="{D5CDD505-2E9C-101B-9397-08002B2CF9AE}" pid="14" name="Innhold">
    <vt:lpwstr/>
  </property>
  <property fmtid="{D5CDD505-2E9C-101B-9397-08002B2CF9AE}" pid="15" name="Rapportnr" linkTarget="dcRappNr">
    <vt:lpwstr>Db click.</vt:lpwstr>
  </property>
  <property fmtid="{D5CDD505-2E9C-101B-9397-08002B2CF9AE}" pid="16" name="ISBN" linkTarget="dcIsbn">
    <vt:lpwstr>* FORMTEXT **ISBN*..</vt:lpwstr>
  </property>
</Properties>
</file>